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5BC14" w14:textId="5CE565CE" w:rsidR="00F31E47" w:rsidRPr="00B104E2" w:rsidRDefault="000E4AC0" w:rsidP="0032239B">
      <w:pPr>
        <w:jc w:val="center"/>
        <w:rPr>
          <w:rFonts w:ascii="IBM Plex Sans" w:hAnsi="IBM Plex Sans"/>
          <w:b/>
          <w:bCs/>
          <w:color w:val="0021A5" w:themeColor="accent1"/>
          <w:sz w:val="48"/>
          <w:szCs w:val="48"/>
        </w:rPr>
      </w:pPr>
      <w:r w:rsidRPr="00B104E2">
        <w:rPr>
          <w:rFonts w:ascii="IBM Plex Sans" w:hAnsi="IBM Plex Sans"/>
          <w:b/>
          <w:bCs/>
          <w:color w:val="0021A5" w:themeColor="accent1"/>
          <w:sz w:val="48"/>
          <w:szCs w:val="48"/>
        </w:rPr>
        <w:t>Requirements Specification</w:t>
      </w:r>
    </w:p>
    <w:tbl>
      <w:tblPr>
        <w:tblStyle w:val="TableGrid"/>
        <w:tblW w:w="9355" w:type="dxa"/>
        <w:jc w:val="center"/>
        <w:tblInd w:w="0" w:type="dxa"/>
        <w:tblBorders>
          <w:insideH w:val="none" w:sz="0" w:space="0" w:color="auto"/>
          <w:insideV w:val="none" w:sz="0" w:space="0" w:color="auto"/>
        </w:tblBorders>
        <w:tblLook w:val="04A0" w:firstRow="1" w:lastRow="0" w:firstColumn="1" w:lastColumn="0" w:noHBand="0" w:noVBand="1"/>
      </w:tblPr>
      <w:tblGrid>
        <w:gridCol w:w="895"/>
        <w:gridCol w:w="1710"/>
        <w:gridCol w:w="1620"/>
        <w:gridCol w:w="5130"/>
      </w:tblGrid>
      <w:tr w:rsidR="006F3A0A" w:rsidRPr="00B104E2" w14:paraId="3162FC29" w14:textId="77777777" w:rsidTr="00C85990">
        <w:trPr>
          <w:jc w:val="center"/>
        </w:trPr>
        <w:tc>
          <w:tcPr>
            <w:tcW w:w="895" w:type="dxa"/>
          </w:tcPr>
          <w:p w14:paraId="6146C6C2" w14:textId="7E4E90A2" w:rsidR="006F3A0A" w:rsidRPr="00B104E2" w:rsidRDefault="00993A67" w:rsidP="00076AC5">
            <w:pPr>
              <w:spacing w:line="276" w:lineRule="auto"/>
              <w:rPr>
                <w:rFonts w:ascii="IBM Plex Sans" w:hAnsi="IBM Plex Sans"/>
                <w:b/>
                <w:bCs/>
                <w:sz w:val="20"/>
                <w:szCs w:val="20"/>
              </w:rPr>
            </w:pPr>
            <w:r w:rsidRPr="00B104E2">
              <w:rPr>
                <w:rFonts w:ascii="IBM Plex Sans" w:hAnsi="IBM Plex Sans"/>
                <w:b/>
                <w:bCs/>
                <w:sz w:val="20"/>
                <w:szCs w:val="20"/>
              </w:rPr>
              <w:t>PPM #</w:t>
            </w:r>
          </w:p>
        </w:tc>
        <w:tc>
          <w:tcPr>
            <w:tcW w:w="1710" w:type="dxa"/>
          </w:tcPr>
          <w:p w14:paraId="7343E806" w14:textId="77777777" w:rsidR="006F3A0A" w:rsidRPr="00B104E2" w:rsidRDefault="006F3A0A" w:rsidP="00076AC5">
            <w:pPr>
              <w:spacing w:line="276" w:lineRule="auto"/>
              <w:rPr>
                <w:rFonts w:ascii="IBM Plex Sans" w:hAnsi="IBM Plex Sans"/>
                <w:sz w:val="20"/>
                <w:szCs w:val="20"/>
              </w:rPr>
            </w:pPr>
          </w:p>
        </w:tc>
        <w:tc>
          <w:tcPr>
            <w:tcW w:w="1620" w:type="dxa"/>
          </w:tcPr>
          <w:p w14:paraId="0F292F6F" w14:textId="31E86FD7" w:rsidR="006F3A0A" w:rsidRPr="00B104E2" w:rsidRDefault="00993A67" w:rsidP="00076AC5">
            <w:pPr>
              <w:spacing w:line="276" w:lineRule="auto"/>
              <w:rPr>
                <w:rFonts w:ascii="IBM Plex Sans" w:hAnsi="IBM Plex Sans"/>
                <w:b/>
                <w:bCs/>
                <w:sz w:val="20"/>
                <w:szCs w:val="20"/>
              </w:rPr>
            </w:pPr>
            <w:r w:rsidRPr="00B104E2">
              <w:rPr>
                <w:rFonts w:ascii="IBM Plex Sans" w:hAnsi="IBM Plex Sans"/>
                <w:b/>
                <w:bCs/>
                <w:sz w:val="20"/>
                <w:szCs w:val="20"/>
              </w:rPr>
              <w:t>Project Name</w:t>
            </w:r>
          </w:p>
        </w:tc>
        <w:tc>
          <w:tcPr>
            <w:tcW w:w="5130" w:type="dxa"/>
          </w:tcPr>
          <w:p w14:paraId="3A0D758A" w14:textId="77777777" w:rsidR="006F3A0A" w:rsidRPr="00B104E2" w:rsidRDefault="006F3A0A" w:rsidP="00076AC5">
            <w:pPr>
              <w:spacing w:line="276" w:lineRule="auto"/>
              <w:rPr>
                <w:rFonts w:ascii="IBM Plex Sans" w:hAnsi="IBM Plex Sans"/>
              </w:rPr>
            </w:pPr>
          </w:p>
        </w:tc>
      </w:tr>
      <w:tr w:rsidR="006F3A0A" w:rsidRPr="00B104E2" w14:paraId="46916E86" w14:textId="77777777" w:rsidTr="00C85990">
        <w:trPr>
          <w:jc w:val="center"/>
        </w:trPr>
        <w:tc>
          <w:tcPr>
            <w:tcW w:w="895" w:type="dxa"/>
          </w:tcPr>
          <w:p w14:paraId="3D70803E" w14:textId="65C24698" w:rsidR="006F3A0A" w:rsidRPr="00B104E2" w:rsidRDefault="009F0E33" w:rsidP="00076AC5">
            <w:pPr>
              <w:spacing w:line="276" w:lineRule="auto"/>
              <w:rPr>
                <w:rFonts w:ascii="IBM Plex Sans" w:hAnsi="IBM Plex Sans"/>
                <w:b/>
                <w:bCs/>
                <w:sz w:val="20"/>
                <w:szCs w:val="20"/>
              </w:rPr>
            </w:pPr>
            <w:r w:rsidRPr="00B104E2">
              <w:rPr>
                <w:rFonts w:ascii="IBM Plex Sans" w:hAnsi="IBM Plex Sans"/>
                <w:b/>
                <w:bCs/>
                <w:sz w:val="20"/>
                <w:szCs w:val="20"/>
              </w:rPr>
              <w:t>Date</w:t>
            </w:r>
          </w:p>
        </w:tc>
        <w:tc>
          <w:tcPr>
            <w:tcW w:w="1710" w:type="dxa"/>
          </w:tcPr>
          <w:p w14:paraId="1FF4B214" w14:textId="77777777" w:rsidR="006F3A0A" w:rsidRPr="00B104E2" w:rsidRDefault="006F3A0A" w:rsidP="00076AC5">
            <w:pPr>
              <w:spacing w:line="276" w:lineRule="auto"/>
              <w:rPr>
                <w:rFonts w:ascii="IBM Plex Sans" w:hAnsi="IBM Plex Sans"/>
                <w:sz w:val="20"/>
                <w:szCs w:val="20"/>
              </w:rPr>
            </w:pPr>
          </w:p>
        </w:tc>
        <w:tc>
          <w:tcPr>
            <w:tcW w:w="1620" w:type="dxa"/>
          </w:tcPr>
          <w:p w14:paraId="09605DCB" w14:textId="09ACB811" w:rsidR="006F3A0A" w:rsidRPr="00B104E2" w:rsidRDefault="009F0E33" w:rsidP="00076AC5">
            <w:pPr>
              <w:spacing w:line="276" w:lineRule="auto"/>
              <w:rPr>
                <w:rFonts w:ascii="IBM Plex Sans" w:hAnsi="IBM Plex Sans"/>
                <w:b/>
                <w:bCs/>
                <w:sz w:val="20"/>
                <w:szCs w:val="20"/>
              </w:rPr>
            </w:pPr>
            <w:r w:rsidRPr="00B104E2">
              <w:rPr>
                <w:rFonts w:ascii="IBM Plex Sans" w:hAnsi="IBM Plex Sans"/>
                <w:b/>
                <w:bCs/>
                <w:sz w:val="20"/>
                <w:szCs w:val="20"/>
              </w:rPr>
              <w:t>Author</w:t>
            </w:r>
          </w:p>
        </w:tc>
        <w:tc>
          <w:tcPr>
            <w:tcW w:w="5130" w:type="dxa"/>
          </w:tcPr>
          <w:p w14:paraId="50FAF4E2" w14:textId="77777777" w:rsidR="006F3A0A" w:rsidRPr="00B104E2" w:rsidRDefault="006F3A0A" w:rsidP="00076AC5">
            <w:pPr>
              <w:spacing w:line="276" w:lineRule="auto"/>
              <w:rPr>
                <w:rFonts w:ascii="IBM Plex Sans" w:hAnsi="IBM Plex Sans"/>
              </w:rPr>
            </w:pPr>
          </w:p>
        </w:tc>
      </w:tr>
    </w:tbl>
    <w:p w14:paraId="7E353836" w14:textId="3E10E42B" w:rsidR="00545F12" w:rsidRPr="00B104E2" w:rsidRDefault="00AA58E9" w:rsidP="00040A16">
      <w:pPr>
        <w:spacing w:before="240"/>
        <w:rPr>
          <w:rFonts w:ascii="IBM Plex Sans" w:hAnsi="IBM Plex Sans"/>
          <w:b/>
          <w:bCs/>
          <w:smallCaps/>
        </w:rPr>
      </w:pPr>
      <w:r w:rsidRPr="00B104E2">
        <w:rPr>
          <w:rFonts w:ascii="IBM Plex Sans" w:hAnsi="IBM Plex Sans"/>
          <w:b/>
          <w:bCs/>
        </w:rPr>
        <w:t>A requirements specification document is a consolidation of a portfolio, program, or project’s</w:t>
      </w:r>
      <w:r w:rsidR="00934873" w:rsidRPr="00B104E2">
        <w:rPr>
          <w:rFonts w:ascii="IBM Plex Sans" w:hAnsi="IBM Plex Sans"/>
          <w:b/>
          <w:bCs/>
        </w:rPr>
        <w:t xml:space="preserve"> needs. These needs include business, stakeholder, functional, nonfunctional and transition requirements.</w:t>
      </w:r>
      <w:r w:rsidR="00E022D5" w:rsidRPr="00B104E2">
        <w:rPr>
          <w:rFonts w:ascii="IBM Plex Sans" w:hAnsi="IBM Plex Sans"/>
          <w:b/>
          <w:bCs/>
        </w:rPr>
        <w:t xml:space="preserve"> A well-documented requirements specification is a rigorous assessment of requirements before the more specific system design stages</w:t>
      </w:r>
      <w:r w:rsidR="00C81ADB" w:rsidRPr="00B104E2">
        <w:rPr>
          <w:rFonts w:ascii="IBM Plex Sans" w:hAnsi="IBM Plex Sans"/>
          <w:b/>
          <w:bCs/>
        </w:rPr>
        <w:t>.</w:t>
      </w:r>
    </w:p>
    <w:p w14:paraId="1FE891A2" w14:textId="1FD9AA6A" w:rsidR="00091353" w:rsidRPr="00B104E2" w:rsidRDefault="00091353" w:rsidP="00091353">
      <w:pPr>
        <w:rPr>
          <w:rFonts w:ascii="IBM Plex Sans" w:hAnsi="IBM Plex Sans"/>
          <w:b/>
          <w:bCs/>
          <w:color w:val="0021A5" w:themeColor="accent1"/>
          <w:sz w:val="32"/>
          <w:szCs w:val="32"/>
        </w:rPr>
      </w:pPr>
      <w:r w:rsidRPr="00B104E2">
        <w:rPr>
          <w:rFonts w:ascii="IBM Plex Sans" w:hAnsi="IBM Plex Sans"/>
          <w:b/>
          <w:bCs/>
          <w:color w:val="0021A5" w:themeColor="accent1"/>
          <w:sz w:val="32"/>
          <w:szCs w:val="32"/>
        </w:rPr>
        <w:t>Project Overview</w:t>
      </w:r>
    </w:p>
    <w:p w14:paraId="3D27F9D1" w14:textId="180DC969" w:rsidR="008D71DE" w:rsidRPr="00B104E2" w:rsidRDefault="005351D6">
      <w:pPr>
        <w:rPr>
          <w:rFonts w:ascii="IBM Plex Sans" w:hAnsi="IBM Plex Sans"/>
          <w:color w:val="000000" w:themeColor="text1"/>
        </w:rPr>
      </w:pPr>
      <w:r w:rsidRPr="00B104E2">
        <w:rPr>
          <w:rFonts w:ascii="IBM Plex Sans" w:hAnsi="IBM Plex Sans"/>
          <w:color w:val="000000" w:themeColor="text1"/>
        </w:rPr>
        <w:t>Provide contextual background on the project in one to two paragraphs</w:t>
      </w:r>
      <w:r w:rsidR="00417903" w:rsidRPr="00B104E2">
        <w:rPr>
          <w:rFonts w:ascii="IBM Plex Sans" w:hAnsi="IBM Plex Sans"/>
          <w:color w:val="000000" w:themeColor="text1"/>
        </w:rPr>
        <w:t>, including the project’s underlying goals and objectives.</w:t>
      </w:r>
    </w:p>
    <w:p w14:paraId="63F488A0" w14:textId="7B2F8C4D" w:rsidR="00417903" w:rsidRPr="00B104E2" w:rsidRDefault="00417903">
      <w:pPr>
        <w:rPr>
          <w:rFonts w:ascii="IBM Plex Sans" w:hAnsi="IBM Plex Sans"/>
        </w:rPr>
      </w:pPr>
      <w:r w:rsidRPr="00B104E2">
        <w:rPr>
          <w:rFonts w:ascii="IBM Plex Sans" w:hAnsi="IBM Plex Sans"/>
        </w:rPr>
        <w:t>[</w:t>
      </w:r>
      <w:r w:rsidR="00673098" w:rsidRPr="00B104E2">
        <w:rPr>
          <w:rFonts w:ascii="IBM Plex Sans" w:hAnsi="IBM Plex Sans"/>
        </w:rPr>
        <w:t>TYPE PROJECT OVERVIEW HERE]</w:t>
      </w:r>
    </w:p>
    <w:p w14:paraId="7D207C08" w14:textId="22835D5C" w:rsidR="00091353" w:rsidRPr="00B104E2" w:rsidRDefault="00091353">
      <w:pPr>
        <w:rPr>
          <w:rFonts w:ascii="IBM Plex Sans" w:hAnsi="IBM Plex Sans"/>
          <w:b/>
          <w:bCs/>
        </w:rPr>
      </w:pPr>
      <w:r w:rsidRPr="00B104E2">
        <w:rPr>
          <w:rFonts w:ascii="IBM Plex Sans" w:hAnsi="IBM Plex Sans"/>
          <w:b/>
          <w:bCs/>
        </w:rPr>
        <w:t>Scope</w:t>
      </w:r>
    </w:p>
    <w:p w14:paraId="39A5DC2E" w14:textId="2841A84E" w:rsidR="00673098" w:rsidRPr="00B104E2" w:rsidRDefault="00BC3E83" w:rsidP="00673098">
      <w:pPr>
        <w:rPr>
          <w:rFonts w:ascii="IBM Plex Sans" w:hAnsi="IBM Plex Sans"/>
        </w:rPr>
      </w:pPr>
      <w:r w:rsidRPr="00B104E2">
        <w:rPr>
          <w:rFonts w:ascii="IBM Plex Sans" w:hAnsi="IBM Plex Sans"/>
        </w:rPr>
        <w:t>List which subject areas and systems are within and beyond the project’s scope, respectively.</w:t>
      </w:r>
    </w:p>
    <w:p w14:paraId="044AF74F" w14:textId="6350DF8E" w:rsidR="00091353" w:rsidRPr="00B104E2" w:rsidRDefault="00091353" w:rsidP="00673098">
      <w:pPr>
        <w:rPr>
          <w:rFonts w:ascii="IBM Plex Sans" w:hAnsi="IBM Plex Sans"/>
          <w:i/>
          <w:iCs/>
        </w:rPr>
      </w:pPr>
      <w:r w:rsidRPr="00B104E2">
        <w:rPr>
          <w:rFonts w:ascii="IBM Plex Sans" w:hAnsi="IBM Plex Sans"/>
          <w:i/>
          <w:iCs/>
        </w:rPr>
        <w:t>In Scope</w:t>
      </w:r>
    </w:p>
    <w:p w14:paraId="4AC6DB5B" w14:textId="77777777" w:rsidR="00091353" w:rsidRPr="00B104E2" w:rsidRDefault="00091353" w:rsidP="00091353">
      <w:pPr>
        <w:pStyle w:val="ListParagraph"/>
        <w:numPr>
          <w:ilvl w:val="0"/>
          <w:numId w:val="30"/>
        </w:numPr>
        <w:rPr>
          <w:rFonts w:ascii="IBM Plex Sans" w:hAnsi="IBM Plex Sans"/>
          <w:i/>
          <w:iCs/>
        </w:rPr>
      </w:pPr>
    </w:p>
    <w:p w14:paraId="19FC5B07" w14:textId="1506BC6D" w:rsidR="00091353" w:rsidRPr="00B104E2" w:rsidRDefault="00091353" w:rsidP="00091353">
      <w:pPr>
        <w:rPr>
          <w:rFonts w:ascii="IBM Plex Sans" w:hAnsi="IBM Plex Sans"/>
          <w:i/>
          <w:iCs/>
        </w:rPr>
      </w:pPr>
      <w:r w:rsidRPr="00B104E2">
        <w:rPr>
          <w:rFonts w:ascii="IBM Plex Sans" w:hAnsi="IBM Plex Sans"/>
          <w:i/>
          <w:iCs/>
        </w:rPr>
        <w:t>Out of Scope</w:t>
      </w:r>
    </w:p>
    <w:p w14:paraId="049439BB" w14:textId="77777777" w:rsidR="00091353" w:rsidRPr="00B104E2" w:rsidRDefault="00091353" w:rsidP="00091353">
      <w:pPr>
        <w:pStyle w:val="ListParagraph"/>
        <w:numPr>
          <w:ilvl w:val="0"/>
          <w:numId w:val="29"/>
        </w:numPr>
        <w:rPr>
          <w:rFonts w:ascii="IBM Plex Sans" w:hAnsi="IBM Plex Sans"/>
          <w:i/>
          <w:iCs/>
        </w:rPr>
      </w:pPr>
    </w:p>
    <w:p w14:paraId="625E04A3" w14:textId="77777777" w:rsidR="00091353" w:rsidRPr="00B104E2" w:rsidRDefault="00091353" w:rsidP="00091353">
      <w:pPr>
        <w:rPr>
          <w:rFonts w:ascii="IBM Plex Sans" w:hAnsi="IBM Plex Sans"/>
        </w:rPr>
      </w:pPr>
      <w:r w:rsidRPr="00B104E2">
        <w:rPr>
          <w:rFonts w:ascii="IBM Plex Sans" w:hAnsi="IBM Plex Sans"/>
          <w:b/>
          <w:bCs/>
          <w:color w:val="0021A5" w:themeColor="accent1"/>
          <w:sz w:val="32"/>
          <w:szCs w:val="32"/>
        </w:rPr>
        <w:t>Requirements</w:t>
      </w:r>
    </w:p>
    <w:p w14:paraId="5B95291B" w14:textId="1E32DF88" w:rsidR="000249C5" w:rsidRPr="00B104E2" w:rsidRDefault="000249C5" w:rsidP="00091353">
      <w:pPr>
        <w:rPr>
          <w:rFonts w:ascii="IBM Plex Sans" w:hAnsi="IBM Plex Sans"/>
        </w:rPr>
      </w:pPr>
      <w:r w:rsidRPr="00B104E2">
        <w:rPr>
          <w:rFonts w:ascii="IBM Plex Sans" w:hAnsi="IBM Plex Sans"/>
        </w:rPr>
        <w:t xml:space="preserve">Requirements can be classified into various categories to provide clarity and context. The following requirement </w:t>
      </w:r>
      <w:proofErr w:type="gramStart"/>
      <w:r w:rsidRPr="00B104E2">
        <w:rPr>
          <w:rFonts w:ascii="IBM Plex Sans" w:hAnsi="IBM Plex Sans"/>
        </w:rPr>
        <w:t>types</w:t>
      </w:r>
      <w:proofErr w:type="gramEnd"/>
      <w:r w:rsidRPr="00B104E2">
        <w:rPr>
          <w:rFonts w:ascii="IBM Plex Sans" w:hAnsi="IBM Plex Sans"/>
        </w:rPr>
        <w:t xml:space="preserve"> help define what information needs to be elicited and the source of that information. Expert judgment, standards or common practices associated with an organization, industry or community of knowledge may be used to determine the types of requirements and enough detail to develop the solution.</w:t>
      </w:r>
    </w:p>
    <w:p w14:paraId="0456E1BB" w14:textId="46F5D757" w:rsidR="000249C5" w:rsidRPr="00B104E2" w:rsidRDefault="000249C5" w:rsidP="00A03A67">
      <w:pPr>
        <w:pStyle w:val="ListParagraph"/>
        <w:rPr>
          <w:rFonts w:ascii="IBM Plex Sans" w:hAnsi="IBM Plex Sans"/>
        </w:rPr>
      </w:pPr>
      <w:r w:rsidRPr="00B104E2">
        <w:rPr>
          <w:rFonts w:ascii="IBM Plex Sans" w:hAnsi="IBM Plex Sans"/>
          <w:b/>
          <w:bCs/>
        </w:rPr>
        <w:t>Business requirements.</w:t>
      </w:r>
      <w:r w:rsidRPr="00B104E2">
        <w:rPr>
          <w:rFonts w:ascii="IBM Plex Sans" w:hAnsi="IBM Plex Sans"/>
        </w:rPr>
        <w:t xml:space="preserve"> Describe the high-level needs of </w:t>
      </w:r>
      <w:r w:rsidR="00B71211" w:rsidRPr="00B104E2">
        <w:rPr>
          <w:rFonts w:ascii="IBM Plex Sans" w:hAnsi="IBM Plex Sans"/>
        </w:rPr>
        <w:t xml:space="preserve">the organization to </w:t>
      </w:r>
      <w:r w:rsidRPr="00B104E2">
        <w:rPr>
          <w:rFonts w:ascii="IBM Plex Sans" w:hAnsi="IBM Plex Sans"/>
        </w:rPr>
        <w:t>address a problem or opportunity. These requirements provide the rationale for why a project or program is launched.</w:t>
      </w:r>
    </w:p>
    <w:p w14:paraId="141E6C26" w14:textId="1DD166A2" w:rsidR="000249C5" w:rsidRPr="00B104E2" w:rsidRDefault="000249C5" w:rsidP="00A03A67">
      <w:pPr>
        <w:pStyle w:val="ListParagraph"/>
        <w:rPr>
          <w:rFonts w:ascii="IBM Plex Sans" w:hAnsi="IBM Plex Sans"/>
        </w:rPr>
      </w:pPr>
      <w:r w:rsidRPr="00B104E2">
        <w:rPr>
          <w:rFonts w:ascii="IBM Plex Sans" w:hAnsi="IBM Plex Sans"/>
          <w:b/>
          <w:bCs/>
        </w:rPr>
        <w:t>Stakeholder requirements.</w:t>
      </w:r>
      <w:r w:rsidRPr="00B104E2">
        <w:rPr>
          <w:rFonts w:ascii="IBM Plex Sans" w:hAnsi="IBM Plex Sans"/>
        </w:rPr>
        <w:t xml:space="preserve"> Express the needs of </w:t>
      </w:r>
      <w:r w:rsidR="0017033E" w:rsidRPr="00B104E2">
        <w:rPr>
          <w:rFonts w:ascii="IBM Plex Sans" w:hAnsi="IBM Plex Sans"/>
        </w:rPr>
        <w:t>a stakeholder</w:t>
      </w:r>
      <w:r w:rsidRPr="00B104E2">
        <w:rPr>
          <w:rFonts w:ascii="IBM Plex Sans" w:hAnsi="IBM Plex Sans"/>
        </w:rPr>
        <w:t>. These requirements communicate</w:t>
      </w:r>
      <w:r w:rsidR="004C0AEA" w:rsidRPr="00B104E2">
        <w:rPr>
          <w:rFonts w:ascii="IBM Plex Sans" w:hAnsi="IBM Plex Sans"/>
        </w:rPr>
        <w:t xml:space="preserve"> stakeholders’ needs of a final </w:t>
      </w:r>
      <w:r w:rsidR="0017033E" w:rsidRPr="00B104E2">
        <w:rPr>
          <w:rFonts w:ascii="IBM Plex Sans" w:hAnsi="IBM Plex Sans"/>
        </w:rPr>
        <w:t>produc</w:t>
      </w:r>
      <w:r w:rsidR="004C0AEA" w:rsidRPr="00B104E2">
        <w:rPr>
          <w:rFonts w:ascii="IBM Plex Sans" w:hAnsi="IBM Plex Sans"/>
        </w:rPr>
        <w:t>t or service.</w:t>
      </w:r>
    </w:p>
    <w:p w14:paraId="6E279D88" w14:textId="61A4F7FD" w:rsidR="000249C5" w:rsidRPr="00B104E2" w:rsidRDefault="000249C5" w:rsidP="00A03A67">
      <w:pPr>
        <w:pStyle w:val="ListParagraph"/>
        <w:rPr>
          <w:rFonts w:ascii="IBM Plex Sans" w:hAnsi="IBM Plex Sans"/>
        </w:rPr>
      </w:pPr>
      <w:r w:rsidRPr="00B104E2">
        <w:rPr>
          <w:rFonts w:ascii="IBM Plex Sans" w:hAnsi="IBM Plex Sans"/>
          <w:b/>
          <w:bCs/>
        </w:rPr>
        <w:t>Solution requirements.</w:t>
      </w:r>
      <w:r w:rsidRPr="00B104E2">
        <w:rPr>
          <w:rFonts w:ascii="IBM Plex Sans" w:hAnsi="IBM Plex Sans"/>
        </w:rPr>
        <w:t xml:space="preserve"> Describe the functions that the product</w:t>
      </w:r>
      <w:r w:rsidR="00A5341B" w:rsidRPr="00B104E2">
        <w:rPr>
          <w:rFonts w:ascii="IBM Plex Sans" w:hAnsi="IBM Plex Sans"/>
        </w:rPr>
        <w:t xml:space="preserve"> or service</w:t>
      </w:r>
      <w:r w:rsidRPr="00B104E2">
        <w:rPr>
          <w:rFonts w:ascii="IBM Plex Sans" w:hAnsi="IBM Plex Sans"/>
        </w:rPr>
        <w:t xml:space="preserve"> needs to exhibit to satisfy the business and stakeholder requirements. Solution requirements </w:t>
      </w:r>
      <w:r w:rsidRPr="00B104E2">
        <w:rPr>
          <w:rFonts w:ascii="IBM Plex Sans" w:hAnsi="IBM Plex Sans"/>
        </w:rPr>
        <w:lastRenderedPageBreak/>
        <w:t>may include requirements related to technology and standard compliance.</w:t>
      </w:r>
      <w:r w:rsidR="00D34608" w:rsidRPr="00B104E2">
        <w:rPr>
          <w:rFonts w:ascii="IBM Plex Sans" w:hAnsi="IBM Plex Sans"/>
        </w:rPr>
        <w:t xml:space="preserve"> All solution requirements should roll up to business and/or stakeholder requirements.</w:t>
      </w:r>
    </w:p>
    <w:p w14:paraId="00D35F4C" w14:textId="50AB2A29" w:rsidR="000249C5" w:rsidRPr="00B104E2" w:rsidRDefault="000249C5" w:rsidP="00A03A67">
      <w:pPr>
        <w:pStyle w:val="ListParagraph"/>
        <w:numPr>
          <w:ilvl w:val="1"/>
          <w:numId w:val="14"/>
        </w:numPr>
        <w:rPr>
          <w:rFonts w:ascii="IBM Plex Sans" w:hAnsi="IBM Plex Sans"/>
        </w:rPr>
      </w:pPr>
      <w:r w:rsidRPr="00B104E2">
        <w:rPr>
          <w:rFonts w:ascii="IBM Plex Sans" w:hAnsi="IBM Plex Sans"/>
          <w:i/>
          <w:iCs/>
        </w:rPr>
        <w:t>Functional requirements</w:t>
      </w:r>
      <w:r w:rsidRPr="00B104E2">
        <w:rPr>
          <w:rFonts w:ascii="IBM Plex Sans" w:hAnsi="IBM Plex Sans"/>
        </w:rPr>
        <w:t xml:space="preserve"> denote </w:t>
      </w:r>
      <w:proofErr w:type="spellStart"/>
      <w:r w:rsidRPr="00B104E2">
        <w:rPr>
          <w:rFonts w:ascii="IBM Plex Sans" w:hAnsi="IBM Plex Sans"/>
        </w:rPr>
        <w:t>behaviors</w:t>
      </w:r>
      <w:proofErr w:type="spellEnd"/>
      <w:r w:rsidRPr="00B104E2">
        <w:rPr>
          <w:rFonts w:ascii="IBM Plex Sans" w:hAnsi="IBM Plex Sans"/>
        </w:rPr>
        <w:t xml:space="preserve"> and operations that the solution will perform. These focus on the required functionality to enable stakeholders to accomplish their objectives, which in turn </w:t>
      </w:r>
      <w:r w:rsidR="00AA0297" w:rsidRPr="00B104E2">
        <w:rPr>
          <w:rFonts w:ascii="IBM Plex Sans" w:hAnsi="IBM Plex Sans"/>
        </w:rPr>
        <w:t>fulfil</w:t>
      </w:r>
      <w:r w:rsidRPr="00B104E2">
        <w:rPr>
          <w:rFonts w:ascii="IBM Plex Sans" w:hAnsi="IBM Plex Sans"/>
        </w:rPr>
        <w:t xml:space="preserve"> the business need. All functional requirements should </w:t>
      </w:r>
      <w:r w:rsidR="00543C4C" w:rsidRPr="00B104E2">
        <w:rPr>
          <w:rFonts w:ascii="IBM Plex Sans" w:hAnsi="IBM Plex Sans"/>
        </w:rPr>
        <w:t>be written in such a way that they are testable.</w:t>
      </w:r>
    </w:p>
    <w:p w14:paraId="47FBA7DF" w14:textId="77777777" w:rsidR="000249C5" w:rsidRPr="00B104E2" w:rsidRDefault="000249C5" w:rsidP="00A03A67">
      <w:pPr>
        <w:pStyle w:val="ListParagraph"/>
        <w:numPr>
          <w:ilvl w:val="1"/>
          <w:numId w:val="14"/>
        </w:numPr>
        <w:rPr>
          <w:rFonts w:ascii="IBM Plex Sans" w:hAnsi="IBM Plex Sans"/>
        </w:rPr>
      </w:pPr>
      <w:r w:rsidRPr="00B104E2">
        <w:rPr>
          <w:rFonts w:ascii="IBM Plex Sans" w:hAnsi="IBM Plex Sans"/>
          <w:i/>
          <w:iCs/>
        </w:rPr>
        <w:t>Nonfunctional requirements</w:t>
      </w:r>
      <w:r w:rsidRPr="00B104E2">
        <w:rPr>
          <w:rFonts w:ascii="IBM Plex Sans" w:hAnsi="IBM Plex Sans"/>
        </w:rPr>
        <w:t xml:space="preserve"> describe certain environmental conditions or required attributes to ensure the product or service operates effectively.</w:t>
      </w:r>
    </w:p>
    <w:p w14:paraId="4228ED7E" w14:textId="6C62F319" w:rsidR="000249C5" w:rsidRPr="00B104E2" w:rsidRDefault="000249C5" w:rsidP="00A03A67">
      <w:pPr>
        <w:pStyle w:val="ListParagraph"/>
        <w:rPr>
          <w:rFonts w:ascii="IBM Plex Sans" w:hAnsi="IBM Plex Sans"/>
        </w:rPr>
      </w:pPr>
      <w:r w:rsidRPr="00B104E2">
        <w:rPr>
          <w:rFonts w:ascii="IBM Plex Sans" w:hAnsi="IBM Plex Sans"/>
          <w:b/>
          <w:bCs/>
        </w:rPr>
        <w:t>Transition requirements.</w:t>
      </w:r>
      <w:r w:rsidRPr="00B104E2">
        <w:rPr>
          <w:rFonts w:ascii="IBM Plex Sans" w:hAnsi="IBM Plex Sans"/>
        </w:rPr>
        <w:t xml:space="preserve"> Describe the temporary capabilities that are essential to migrate </w:t>
      </w:r>
      <w:r w:rsidR="00543C4C" w:rsidRPr="00B104E2">
        <w:rPr>
          <w:rFonts w:ascii="IBM Plex Sans" w:hAnsi="IBM Plex Sans"/>
        </w:rPr>
        <w:t>from</w:t>
      </w:r>
      <w:r w:rsidRPr="00B104E2">
        <w:rPr>
          <w:rFonts w:ascii="IBM Plex Sans" w:hAnsi="IBM Plex Sans"/>
        </w:rPr>
        <w:t xml:space="preserve"> the current state to a future state. Requirements that fall into this category include </w:t>
      </w:r>
      <w:r w:rsidR="00D34608" w:rsidRPr="00B104E2">
        <w:rPr>
          <w:rFonts w:ascii="IBM Plex Sans" w:hAnsi="IBM Plex Sans"/>
        </w:rPr>
        <w:t>data conversions, training, and communications.</w:t>
      </w:r>
    </w:p>
    <w:p w14:paraId="2B14F56D" w14:textId="6E81BEDF" w:rsidR="00362916" w:rsidRPr="00B104E2" w:rsidRDefault="00362916" w:rsidP="00362916">
      <w:pPr>
        <w:spacing w:after="240" w:line="240" w:lineRule="auto"/>
        <w:rPr>
          <w:rFonts w:ascii="IBM Plex Sans" w:hAnsi="IBM Plex Sans"/>
        </w:rPr>
      </w:pPr>
      <w:r w:rsidRPr="00B104E2">
        <w:rPr>
          <w:rFonts w:ascii="IBM Plex Sans" w:hAnsi="IBM Plex Sans"/>
        </w:rPr>
        <w:t xml:space="preserve">In the table below, document all requirements pertaining to the project. </w:t>
      </w:r>
      <w:r w:rsidR="006F7686" w:rsidRPr="00B104E2">
        <w:rPr>
          <w:rFonts w:ascii="IBM Plex Sans" w:hAnsi="IBM Plex Sans"/>
        </w:rPr>
        <w:t>Specify</w:t>
      </w:r>
      <w:r w:rsidRPr="00B104E2">
        <w:rPr>
          <w:rFonts w:ascii="IBM Plex Sans" w:hAnsi="IBM Plex Sans"/>
        </w:rPr>
        <w:t xml:space="preserve"> the requirement type as Business, Stakeholder, Functional, Nonfunctional or Transition. This </w:t>
      </w:r>
      <w:r w:rsidR="00B3306B" w:rsidRPr="00B104E2">
        <w:rPr>
          <w:rFonts w:ascii="IBM Plex Sans" w:hAnsi="IBM Plex Sans"/>
        </w:rPr>
        <w:t>will</w:t>
      </w:r>
      <w:r w:rsidRPr="00B104E2">
        <w:rPr>
          <w:rFonts w:ascii="IBM Plex Sans" w:hAnsi="IBM Plex Sans"/>
        </w:rPr>
        <w:t xml:space="preserve"> help</w:t>
      </w:r>
      <w:r w:rsidR="00B3306B" w:rsidRPr="00B104E2">
        <w:rPr>
          <w:rFonts w:ascii="IBM Plex Sans" w:hAnsi="IBM Plex Sans"/>
        </w:rPr>
        <w:t xml:space="preserve"> when building out use cases and test scripts later in the project </w:t>
      </w:r>
      <w:r w:rsidR="00072DCD" w:rsidRPr="00B104E2">
        <w:rPr>
          <w:rFonts w:ascii="IBM Plex Sans" w:hAnsi="IBM Plex Sans"/>
        </w:rPr>
        <w:t xml:space="preserve">and service development </w:t>
      </w:r>
      <w:r w:rsidR="00B3306B" w:rsidRPr="00B104E2">
        <w:rPr>
          <w:rFonts w:ascii="IBM Plex Sans" w:hAnsi="IBM Plex Sans"/>
        </w:rPr>
        <w:t>life cycle</w:t>
      </w:r>
      <w:r w:rsidR="00072DCD" w:rsidRPr="00B104E2">
        <w:rPr>
          <w:rFonts w:ascii="IBM Plex Sans" w:hAnsi="IBM Plex Sans"/>
        </w:rPr>
        <w:t>s.</w:t>
      </w:r>
    </w:p>
    <w:tbl>
      <w:tblPr>
        <w:tblStyle w:val="GridTable4-Accent1"/>
        <w:tblW w:w="9559" w:type="dxa"/>
        <w:jc w:val="center"/>
        <w:tblLook w:val="04A0" w:firstRow="1" w:lastRow="0" w:firstColumn="1" w:lastColumn="0" w:noHBand="0" w:noVBand="1"/>
      </w:tblPr>
      <w:tblGrid>
        <w:gridCol w:w="1051"/>
        <w:gridCol w:w="6144"/>
        <w:gridCol w:w="2364"/>
      </w:tblGrid>
      <w:tr w:rsidR="0069719B" w:rsidRPr="00B104E2" w14:paraId="4B1B3EB1" w14:textId="77777777" w:rsidTr="005E55E5">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051" w:type="dxa"/>
          </w:tcPr>
          <w:p w14:paraId="372BDF8E" w14:textId="77777777" w:rsidR="0069719B" w:rsidRPr="00B104E2" w:rsidRDefault="0069719B" w:rsidP="005E55E5">
            <w:pPr>
              <w:spacing w:line="276" w:lineRule="auto"/>
              <w:jc w:val="center"/>
              <w:rPr>
                <w:rFonts w:ascii="IBM Plex Sans" w:hAnsi="IBM Plex Sans"/>
                <w:sz w:val="18"/>
                <w:szCs w:val="18"/>
              </w:rPr>
            </w:pPr>
            <w:r w:rsidRPr="00B104E2">
              <w:rPr>
                <w:rFonts w:ascii="IBM Plex Sans" w:hAnsi="IBM Plex Sans"/>
                <w:sz w:val="18"/>
                <w:szCs w:val="18"/>
              </w:rPr>
              <w:t>Req ID</w:t>
            </w:r>
          </w:p>
        </w:tc>
        <w:tc>
          <w:tcPr>
            <w:tcW w:w="6144" w:type="dxa"/>
          </w:tcPr>
          <w:p w14:paraId="292C09D4" w14:textId="77777777" w:rsidR="0069719B" w:rsidRPr="00B104E2" w:rsidRDefault="0069719B" w:rsidP="005E55E5">
            <w:pPr>
              <w:spacing w:line="276" w:lineRule="auto"/>
              <w:jc w:val="center"/>
              <w:cnfStyle w:val="100000000000" w:firstRow="1" w:lastRow="0" w:firstColumn="0" w:lastColumn="0" w:oddVBand="0" w:evenVBand="0" w:oddHBand="0" w:evenHBand="0" w:firstRowFirstColumn="0" w:firstRowLastColumn="0" w:lastRowFirstColumn="0" w:lastRowLastColumn="0"/>
              <w:rPr>
                <w:rFonts w:ascii="IBM Plex Sans" w:hAnsi="IBM Plex Sans"/>
                <w:sz w:val="18"/>
                <w:szCs w:val="18"/>
              </w:rPr>
            </w:pPr>
            <w:r w:rsidRPr="00B104E2">
              <w:rPr>
                <w:rFonts w:ascii="IBM Plex Sans" w:hAnsi="IBM Plex Sans"/>
                <w:sz w:val="18"/>
                <w:szCs w:val="18"/>
              </w:rPr>
              <w:t>Requirement</w:t>
            </w:r>
          </w:p>
        </w:tc>
        <w:tc>
          <w:tcPr>
            <w:tcW w:w="2364" w:type="dxa"/>
          </w:tcPr>
          <w:p w14:paraId="1981C92F" w14:textId="157AD7D4" w:rsidR="0069719B" w:rsidRPr="00B104E2" w:rsidRDefault="0069719B" w:rsidP="005E55E5">
            <w:pPr>
              <w:spacing w:line="276" w:lineRule="auto"/>
              <w:jc w:val="center"/>
              <w:cnfStyle w:val="100000000000" w:firstRow="1" w:lastRow="0" w:firstColumn="0" w:lastColumn="0" w:oddVBand="0" w:evenVBand="0" w:oddHBand="0" w:evenHBand="0" w:firstRowFirstColumn="0" w:firstRowLastColumn="0" w:lastRowFirstColumn="0" w:lastRowLastColumn="0"/>
              <w:rPr>
                <w:rFonts w:ascii="IBM Plex Sans" w:hAnsi="IBM Plex Sans"/>
                <w:sz w:val="18"/>
                <w:szCs w:val="18"/>
              </w:rPr>
            </w:pPr>
            <w:r w:rsidRPr="00B104E2">
              <w:rPr>
                <w:rFonts w:ascii="IBM Plex Sans" w:hAnsi="IBM Plex Sans"/>
                <w:sz w:val="18"/>
                <w:szCs w:val="18"/>
              </w:rPr>
              <w:t>Requirement Type</w:t>
            </w:r>
          </w:p>
        </w:tc>
      </w:tr>
      <w:tr w:rsidR="0069719B" w:rsidRPr="00B104E2" w14:paraId="5C73A582" w14:textId="77777777" w:rsidTr="005E55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1" w:type="dxa"/>
          </w:tcPr>
          <w:p w14:paraId="6F40F220" w14:textId="77777777" w:rsidR="0069719B" w:rsidRPr="00B104E2" w:rsidRDefault="0069719B" w:rsidP="005E55E5">
            <w:pPr>
              <w:spacing w:line="276" w:lineRule="auto"/>
              <w:rPr>
                <w:rFonts w:ascii="IBM Plex Sans" w:hAnsi="IBM Plex Sans"/>
                <w:sz w:val="22"/>
                <w:szCs w:val="22"/>
              </w:rPr>
            </w:pPr>
            <w:r w:rsidRPr="00B104E2">
              <w:rPr>
                <w:rFonts w:ascii="IBM Plex Sans" w:hAnsi="IBM Plex Sans"/>
                <w:sz w:val="22"/>
                <w:szCs w:val="22"/>
              </w:rPr>
              <w:t>1.</w:t>
            </w:r>
          </w:p>
        </w:tc>
        <w:tc>
          <w:tcPr>
            <w:tcW w:w="6144" w:type="dxa"/>
          </w:tcPr>
          <w:p w14:paraId="2995B00F" w14:textId="77777777" w:rsidR="0069719B" w:rsidRPr="00B104E2" w:rsidRDefault="0069719B" w:rsidP="005E55E5">
            <w:pPr>
              <w:spacing w:line="276" w:lineRule="auto"/>
              <w:cnfStyle w:val="000000100000" w:firstRow="0" w:lastRow="0" w:firstColumn="0" w:lastColumn="0" w:oddVBand="0" w:evenVBand="0" w:oddHBand="1" w:evenHBand="0" w:firstRowFirstColumn="0" w:firstRowLastColumn="0" w:lastRowFirstColumn="0" w:lastRowLastColumn="0"/>
              <w:rPr>
                <w:rFonts w:ascii="IBM Plex Sans" w:hAnsi="IBM Plex Sans"/>
                <w:sz w:val="22"/>
                <w:szCs w:val="22"/>
              </w:rPr>
            </w:pPr>
          </w:p>
        </w:tc>
        <w:tc>
          <w:tcPr>
            <w:tcW w:w="2364" w:type="dxa"/>
          </w:tcPr>
          <w:p w14:paraId="6E9001CB" w14:textId="6B943C36" w:rsidR="0069719B" w:rsidRPr="00B104E2" w:rsidRDefault="0069719B" w:rsidP="005E55E5">
            <w:pPr>
              <w:spacing w:line="276" w:lineRule="auto"/>
              <w:jc w:val="center"/>
              <w:cnfStyle w:val="000000100000" w:firstRow="0" w:lastRow="0" w:firstColumn="0" w:lastColumn="0" w:oddVBand="0" w:evenVBand="0" w:oddHBand="1" w:evenHBand="0" w:firstRowFirstColumn="0" w:firstRowLastColumn="0" w:lastRowFirstColumn="0" w:lastRowLastColumn="0"/>
              <w:rPr>
                <w:rFonts w:ascii="IBM Plex Sans" w:hAnsi="IBM Plex Sans"/>
                <w:sz w:val="22"/>
                <w:szCs w:val="22"/>
              </w:rPr>
            </w:pPr>
          </w:p>
        </w:tc>
      </w:tr>
      <w:tr w:rsidR="0069719B" w:rsidRPr="00B104E2" w14:paraId="1BE8481E" w14:textId="77777777" w:rsidTr="005E55E5">
        <w:trPr>
          <w:jc w:val="center"/>
        </w:trPr>
        <w:tc>
          <w:tcPr>
            <w:cnfStyle w:val="001000000000" w:firstRow="0" w:lastRow="0" w:firstColumn="1" w:lastColumn="0" w:oddVBand="0" w:evenVBand="0" w:oddHBand="0" w:evenHBand="0" w:firstRowFirstColumn="0" w:firstRowLastColumn="0" w:lastRowFirstColumn="0" w:lastRowLastColumn="0"/>
            <w:tcW w:w="1051" w:type="dxa"/>
          </w:tcPr>
          <w:p w14:paraId="5BA15CFE" w14:textId="77777777" w:rsidR="0069719B" w:rsidRPr="00B104E2" w:rsidRDefault="0069719B" w:rsidP="005E55E5">
            <w:pPr>
              <w:spacing w:line="276" w:lineRule="auto"/>
              <w:rPr>
                <w:rFonts w:ascii="IBM Plex Sans" w:hAnsi="IBM Plex Sans"/>
                <w:b w:val="0"/>
                <w:sz w:val="22"/>
                <w:szCs w:val="22"/>
              </w:rPr>
            </w:pPr>
            <w:r w:rsidRPr="00B104E2">
              <w:rPr>
                <w:rFonts w:ascii="IBM Plex Sans" w:hAnsi="IBM Plex Sans"/>
                <w:b w:val="0"/>
                <w:sz w:val="22"/>
                <w:szCs w:val="22"/>
              </w:rPr>
              <w:t>1.01.</w:t>
            </w:r>
          </w:p>
        </w:tc>
        <w:tc>
          <w:tcPr>
            <w:tcW w:w="6144" w:type="dxa"/>
          </w:tcPr>
          <w:p w14:paraId="58796446" w14:textId="77777777" w:rsidR="0069719B" w:rsidRPr="00B104E2" w:rsidRDefault="0069719B" w:rsidP="005E55E5">
            <w:pPr>
              <w:spacing w:line="276" w:lineRule="auto"/>
              <w:cnfStyle w:val="000000000000" w:firstRow="0" w:lastRow="0" w:firstColumn="0" w:lastColumn="0" w:oddVBand="0" w:evenVBand="0" w:oddHBand="0" w:evenHBand="0" w:firstRowFirstColumn="0" w:firstRowLastColumn="0" w:lastRowFirstColumn="0" w:lastRowLastColumn="0"/>
              <w:rPr>
                <w:rFonts w:ascii="IBM Plex Sans" w:hAnsi="IBM Plex Sans"/>
                <w:sz w:val="22"/>
                <w:szCs w:val="22"/>
              </w:rPr>
            </w:pPr>
          </w:p>
        </w:tc>
        <w:tc>
          <w:tcPr>
            <w:tcW w:w="2364" w:type="dxa"/>
          </w:tcPr>
          <w:p w14:paraId="4408AFC4" w14:textId="6CF8CD65" w:rsidR="0069719B" w:rsidRPr="00B104E2" w:rsidRDefault="0069719B" w:rsidP="005E55E5">
            <w:pPr>
              <w:spacing w:line="276" w:lineRule="auto"/>
              <w:jc w:val="center"/>
              <w:cnfStyle w:val="000000000000" w:firstRow="0" w:lastRow="0" w:firstColumn="0" w:lastColumn="0" w:oddVBand="0" w:evenVBand="0" w:oddHBand="0" w:evenHBand="0" w:firstRowFirstColumn="0" w:firstRowLastColumn="0" w:lastRowFirstColumn="0" w:lastRowLastColumn="0"/>
              <w:rPr>
                <w:rFonts w:ascii="IBM Plex Sans" w:hAnsi="IBM Plex Sans"/>
                <w:sz w:val="22"/>
                <w:szCs w:val="22"/>
              </w:rPr>
            </w:pPr>
          </w:p>
        </w:tc>
      </w:tr>
      <w:tr w:rsidR="0069719B" w:rsidRPr="00B104E2" w14:paraId="2045D9E5" w14:textId="77777777" w:rsidTr="005E55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1" w:type="dxa"/>
          </w:tcPr>
          <w:p w14:paraId="39235F2C" w14:textId="77777777" w:rsidR="0069719B" w:rsidRPr="00B104E2" w:rsidRDefault="0069719B" w:rsidP="005E55E5">
            <w:pPr>
              <w:spacing w:line="276" w:lineRule="auto"/>
              <w:rPr>
                <w:rFonts w:ascii="IBM Plex Sans" w:hAnsi="IBM Plex Sans"/>
                <w:sz w:val="22"/>
                <w:szCs w:val="22"/>
              </w:rPr>
            </w:pPr>
            <w:r w:rsidRPr="00B104E2">
              <w:rPr>
                <w:rFonts w:ascii="IBM Plex Sans" w:hAnsi="IBM Plex Sans"/>
                <w:sz w:val="22"/>
                <w:szCs w:val="22"/>
              </w:rPr>
              <w:t>2.</w:t>
            </w:r>
          </w:p>
        </w:tc>
        <w:tc>
          <w:tcPr>
            <w:tcW w:w="6144" w:type="dxa"/>
          </w:tcPr>
          <w:p w14:paraId="1D06DE46" w14:textId="77777777" w:rsidR="0069719B" w:rsidRPr="00B104E2" w:rsidRDefault="0069719B" w:rsidP="005E55E5">
            <w:pPr>
              <w:spacing w:line="276" w:lineRule="auto"/>
              <w:cnfStyle w:val="000000100000" w:firstRow="0" w:lastRow="0" w:firstColumn="0" w:lastColumn="0" w:oddVBand="0" w:evenVBand="0" w:oddHBand="1" w:evenHBand="0" w:firstRowFirstColumn="0" w:firstRowLastColumn="0" w:lastRowFirstColumn="0" w:lastRowLastColumn="0"/>
              <w:rPr>
                <w:rFonts w:ascii="IBM Plex Sans" w:hAnsi="IBM Plex Sans"/>
                <w:sz w:val="22"/>
                <w:szCs w:val="22"/>
              </w:rPr>
            </w:pPr>
          </w:p>
        </w:tc>
        <w:tc>
          <w:tcPr>
            <w:tcW w:w="2364" w:type="dxa"/>
          </w:tcPr>
          <w:p w14:paraId="2B89DB41" w14:textId="2EE1EE85" w:rsidR="0069719B" w:rsidRPr="00B104E2" w:rsidRDefault="0069719B" w:rsidP="005E55E5">
            <w:pPr>
              <w:spacing w:line="276" w:lineRule="auto"/>
              <w:jc w:val="center"/>
              <w:cnfStyle w:val="000000100000" w:firstRow="0" w:lastRow="0" w:firstColumn="0" w:lastColumn="0" w:oddVBand="0" w:evenVBand="0" w:oddHBand="1" w:evenHBand="0" w:firstRowFirstColumn="0" w:firstRowLastColumn="0" w:lastRowFirstColumn="0" w:lastRowLastColumn="0"/>
              <w:rPr>
                <w:rFonts w:ascii="IBM Plex Sans" w:hAnsi="IBM Plex Sans"/>
                <w:sz w:val="22"/>
                <w:szCs w:val="22"/>
              </w:rPr>
            </w:pPr>
          </w:p>
        </w:tc>
      </w:tr>
      <w:tr w:rsidR="0069719B" w:rsidRPr="00B104E2" w14:paraId="79CA5787" w14:textId="77777777" w:rsidTr="005E55E5">
        <w:trPr>
          <w:jc w:val="center"/>
        </w:trPr>
        <w:tc>
          <w:tcPr>
            <w:cnfStyle w:val="001000000000" w:firstRow="0" w:lastRow="0" w:firstColumn="1" w:lastColumn="0" w:oddVBand="0" w:evenVBand="0" w:oddHBand="0" w:evenHBand="0" w:firstRowFirstColumn="0" w:firstRowLastColumn="0" w:lastRowFirstColumn="0" w:lastRowLastColumn="0"/>
            <w:tcW w:w="1051" w:type="dxa"/>
          </w:tcPr>
          <w:p w14:paraId="32C4E582" w14:textId="77777777" w:rsidR="0069719B" w:rsidRPr="00B104E2" w:rsidRDefault="0069719B" w:rsidP="005E55E5">
            <w:pPr>
              <w:spacing w:line="276" w:lineRule="auto"/>
              <w:rPr>
                <w:rFonts w:ascii="IBM Plex Sans" w:hAnsi="IBM Plex Sans"/>
                <w:b w:val="0"/>
                <w:sz w:val="22"/>
                <w:szCs w:val="22"/>
              </w:rPr>
            </w:pPr>
            <w:r w:rsidRPr="00B104E2">
              <w:rPr>
                <w:rFonts w:ascii="IBM Plex Sans" w:hAnsi="IBM Plex Sans"/>
                <w:b w:val="0"/>
                <w:sz w:val="22"/>
                <w:szCs w:val="22"/>
              </w:rPr>
              <w:t>2.01.</w:t>
            </w:r>
          </w:p>
        </w:tc>
        <w:tc>
          <w:tcPr>
            <w:tcW w:w="6144" w:type="dxa"/>
          </w:tcPr>
          <w:p w14:paraId="46A5725C" w14:textId="77777777" w:rsidR="0069719B" w:rsidRPr="00B104E2" w:rsidRDefault="0069719B" w:rsidP="005E55E5">
            <w:pPr>
              <w:spacing w:line="276" w:lineRule="auto"/>
              <w:cnfStyle w:val="000000000000" w:firstRow="0" w:lastRow="0" w:firstColumn="0" w:lastColumn="0" w:oddVBand="0" w:evenVBand="0" w:oddHBand="0" w:evenHBand="0" w:firstRowFirstColumn="0" w:firstRowLastColumn="0" w:lastRowFirstColumn="0" w:lastRowLastColumn="0"/>
              <w:rPr>
                <w:rFonts w:ascii="IBM Plex Sans" w:hAnsi="IBM Plex Sans"/>
                <w:sz w:val="22"/>
                <w:szCs w:val="22"/>
              </w:rPr>
            </w:pPr>
          </w:p>
        </w:tc>
        <w:tc>
          <w:tcPr>
            <w:tcW w:w="2364" w:type="dxa"/>
          </w:tcPr>
          <w:p w14:paraId="54210DDC" w14:textId="68686E10" w:rsidR="0069719B" w:rsidRPr="00B104E2" w:rsidRDefault="0069719B" w:rsidP="005E55E5">
            <w:pPr>
              <w:spacing w:line="276" w:lineRule="auto"/>
              <w:jc w:val="center"/>
              <w:cnfStyle w:val="000000000000" w:firstRow="0" w:lastRow="0" w:firstColumn="0" w:lastColumn="0" w:oddVBand="0" w:evenVBand="0" w:oddHBand="0" w:evenHBand="0" w:firstRowFirstColumn="0" w:firstRowLastColumn="0" w:lastRowFirstColumn="0" w:lastRowLastColumn="0"/>
              <w:rPr>
                <w:rFonts w:ascii="IBM Plex Sans" w:hAnsi="IBM Plex Sans"/>
                <w:sz w:val="22"/>
                <w:szCs w:val="22"/>
              </w:rPr>
            </w:pPr>
          </w:p>
        </w:tc>
      </w:tr>
    </w:tbl>
    <w:p w14:paraId="4A8D470F" w14:textId="77777777" w:rsidR="00646EA2" w:rsidRPr="00B104E2" w:rsidRDefault="00646EA2" w:rsidP="00091353">
      <w:pPr>
        <w:rPr>
          <w:rFonts w:ascii="IBM Plex Sans" w:hAnsi="IBM Plex Sans"/>
          <w:b/>
          <w:bCs/>
          <w:color w:val="0021A5" w:themeColor="accent1"/>
          <w:sz w:val="32"/>
          <w:szCs w:val="32"/>
        </w:rPr>
      </w:pPr>
    </w:p>
    <w:p w14:paraId="7D1FCE0A" w14:textId="0B22A129" w:rsidR="00091353" w:rsidRPr="00B104E2" w:rsidRDefault="00091353" w:rsidP="00091353">
      <w:pPr>
        <w:rPr>
          <w:rFonts w:ascii="IBM Plex Sans" w:hAnsi="IBM Plex Sans"/>
        </w:rPr>
      </w:pPr>
      <w:r w:rsidRPr="00B104E2">
        <w:rPr>
          <w:rFonts w:ascii="IBM Plex Sans" w:hAnsi="IBM Plex Sans"/>
          <w:b/>
          <w:bCs/>
          <w:color w:val="0021A5" w:themeColor="accent1"/>
          <w:sz w:val="32"/>
          <w:szCs w:val="32"/>
        </w:rPr>
        <w:t>Structural Diagrams</w:t>
      </w:r>
    </w:p>
    <w:p w14:paraId="38DDDCF9" w14:textId="0284629B" w:rsidR="004E1CCB" w:rsidRPr="00B104E2" w:rsidRDefault="00F270CD" w:rsidP="004E1CCB">
      <w:pPr>
        <w:rPr>
          <w:rFonts w:ascii="IBM Plex Sans" w:hAnsi="IBM Plex Sans"/>
          <w:color w:val="000000" w:themeColor="text1"/>
        </w:rPr>
      </w:pPr>
      <w:r w:rsidRPr="00B104E2">
        <w:rPr>
          <w:rFonts w:ascii="IBM Plex Sans" w:hAnsi="IBM Plex Sans"/>
          <w:color w:val="000000" w:themeColor="text1"/>
        </w:rPr>
        <w:t>The structural diagrams represent the static aspects of any systems. These static parts are represented by classes, interfaces, objects, components and nodes.</w:t>
      </w:r>
    </w:p>
    <w:p w14:paraId="19FD5D33" w14:textId="018D998B" w:rsidR="00091353" w:rsidRPr="00B104E2" w:rsidRDefault="00091353" w:rsidP="00091353">
      <w:pPr>
        <w:rPr>
          <w:rFonts w:ascii="IBM Plex Sans" w:hAnsi="IBM Plex Sans"/>
          <w:b/>
          <w:bCs/>
        </w:rPr>
      </w:pPr>
      <w:r w:rsidRPr="00B104E2">
        <w:rPr>
          <w:rFonts w:ascii="IBM Plex Sans" w:hAnsi="IBM Plex Sans"/>
          <w:b/>
          <w:bCs/>
        </w:rPr>
        <w:t>Class Diagram</w:t>
      </w:r>
    </w:p>
    <w:p w14:paraId="66128449" w14:textId="7CB4B912" w:rsidR="00F270CD" w:rsidRPr="00B104E2" w:rsidRDefault="00F270CD" w:rsidP="00F270CD">
      <w:pPr>
        <w:rPr>
          <w:rFonts w:ascii="IBM Plex Sans" w:hAnsi="IBM Plex Sans"/>
        </w:rPr>
      </w:pPr>
      <w:r w:rsidRPr="00B104E2">
        <w:rPr>
          <w:rFonts w:ascii="IBM Plex Sans" w:hAnsi="IBM Plex Sans"/>
        </w:rPr>
        <w:t>Class diagrams are a graphical, object-oriented view of the system, which is static in nature.</w:t>
      </w:r>
    </w:p>
    <w:p w14:paraId="04A83D05" w14:textId="238C9686" w:rsidR="00F270CD" w:rsidRPr="00B104E2" w:rsidRDefault="00F270CD" w:rsidP="00091353">
      <w:pPr>
        <w:jc w:val="center"/>
        <w:rPr>
          <w:rFonts w:ascii="IBM Plex Sans" w:hAnsi="IBM Plex Sans"/>
        </w:rPr>
      </w:pPr>
      <w:r w:rsidRPr="00B104E2">
        <w:rPr>
          <w:rFonts w:ascii="IBM Plex Sans" w:hAnsi="IBM Plex Sans"/>
        </w:rPr>
        <w:t>[INSERT DIAGRAM HERE]</w:t>
      </w:r>
    </w:p>
    <w:p w14:paraId="582B3796" w14:textId="04825E69" w:rsidR="00091353" w:rsidRPr="00B104E2" w:rsidRDefault="00091353" w:rsidP="00091353">
      <w:pPr>
        <w:rPr>
          <w:rFonts w:ascii="IBM Plex Sans" w:hAnsi="IBM Plex Sans"/>
          <w:b/>
          <w:bCs/>
        </w:rPr>
      </w:pPr>
      <w:r w:rsidRPr="00B104E2">
        <w:rPr>
          <w:rFonts w:ascii="IBM Plex Sans" w:hAnsi="IBM Plex Sans"/>
          <w:b/>
          <w:bCs/>
        </w:rPr>
        <w:t>Object Diagram</w:t>
      </w:r>
    </w:p>
    <w:p w14:paraId="1CFF0D2D" w14:textId="5C06A7B5" w:rsidR="00F270CD" w:rsidRPr="00B104E2" w:rsidRDefault="00F270CD" w:rsidP="00F270CD">
      <w:pPr>
        <w:rPr>
          <w:rFonts w:ascii="IBM Plex Sans" w:hAnsi="IBM Plex Sans"/>
          <w:color w:val="000000" w:themeColor="text1"/>
        </w:rPr>
      </w:pPr>
      <w:r w:rsidRPr="00B104E2">
        <w:rPr>
          <w:rFonts w:ascii="IBM Plex Sans" w:hAnsi="IBM Plex Sans"/>
          <w:color w:val="000000" w:themeColor="text1"/>
        </w:rPr>
        <w:t>Object diagrams are an instance of a class diagram, which are closer to real-life scenarios and used to build the prototype of a system from a practical perspective.</w:t>
      </w:r>
    </w:p>
    <w:p w14:paraId="7FA937B5" w14:textId="77777777" w:rsidR="00F270CD" w:rsidRPr="00B104E2" w:rsidRDefault="00F270CD" w:rsidP="00F270CD">
      <w:pPr>
        <w:jc w:val="center"/>
        <w:rPr>
          <w:rFonts w:ascii="IBM Plex Sans" w:hAnsi="IBM Plex Sans"/>
          <w:color w:val="000000" w:themeColor="text1"/>
        </w:rPr>
      </w:pPr>
      <w:r w:rsidRPr="00B104E2">
        <w:rPr>
          <w:rFonts w:ascii="IBM Plex Sans" w:hAnsi="IBM Plex Sans"/>
          <w:color w:val="000000" w:themeColor="text1"/>
        </w:rPr>
        <w:t>[INSERT DIAGRAM HERE]</w:t>
      </w:r>
    </w:p>
    <w:p w14:paraId="4ED6009A" w14:textId="49D6F01F" w:rsidR="00091353" w:rsidRPr="00B104E2" w:rsidRDefault="00091353" w:rsidP="00091353">
      <w:pPr>
        <w:rPr>
          <w:rFonts w:ascii="IBM Plex Sans" w:hAnsi="IBM Plex Sans"/>
          <w:b/>
          <w:bCs/>
        </w:rPr>
      </w:pPr>
      <w:r w:rsidRPr="00B104E2">
        <w:rPr>
          <w:rFonts w:ascii="IBM Plex Sans" w:hAnsi="IBM Plex Sans"/>
          <w:b/>
          <w:bCs/>
        </w:rPr>
        <w:t>Entity Relationship Diagram</w:t>
      </w:r>
    </w:p>
    <w:p w14:paraId="200118E3" w14:textId="55C2E22C" w:rsidR="00F270CD" w:rsidRPr="00B104E2" w:rsidRDefault="00F72E7C" w:rsidP="00F270CD">
      <w:pPr>
        <w:rPr>
          <w:rFonts w:ascii="IBM Plex Sans" w:hAnsi="IBM Plex Sans"/>
        </w:rPr>
      </w:pPr>
      <w:r w:rsidRPr="00B104E2">
        <w:rPr>
          <w:rFonts w:ascii="IBM Plex Sans" w:hAnsi="IBM Plex Sans"/>
        </w:rPr>
        <w:lastRenderedPageBreak/>
        <w:t>An Entity Relationship Diagram (ERD) shows the relationships of entity sets stored in a database.</w:t>
      </w:r>
      <w:r w:rsidR="00551752" w:rsidRPr="00B104E2">
        <w:rPr>
          <w:rFonts w:ascii="IBM Plex Sans" w:hAnsi="IBM Plex Sans"/>
        </w:rPr>
        <w:t xml:space="preserve"> They illustrate the logical structure of databases.</w:t>
      </w:r>
    </w:p>
    <w:p w14:paraId="65248C56" w14:textId="77777777" w:rsidR="00F270CD" w:rsidRPr="00B104E2" w:rsidRDefault="00F270CD" w:rsidP="00F270CD">
      <w:pPr>
        <w:jc w:val="center"/>
        <w:rPr>
          <w:rFonts w:ascii="IBM Plex Sans" w:hAnsi="IBM Plex Sans"/>
        </w:rPr>
      </w:pPr>
      <w:r w:rsidRPr="00B104E2">
        <w:rPr>
          <w:rFonts w:ascii="IBM Plex Sans" w:hAnsi="IBM Plex Sans"/>
        </w:rPr>
        <w:t>[INSERT DIAGRAM HERE]</w:t>
      </w:r>
    </w:p>
    <w:p w14:paraId="6BFEC15A" w14:textId="4564E12A" w:rsidR="00091353" w:rsidRPr="00B104E2" w:rsidRDefault="00091353" w:rsidP="00091353">
      <w:pPr>
        <w:rPr>
          <w:rFonts w:ascii="IBM Plex Sans" w:hAnsi="IBM Plex Sans"/>
          <w:b/>
          <w:bCs/>
          <w:color w:val="000000" w:themeColor="text1"/>
        </w:rPr>
      </w:pPr>
      <w:r w:rsidRPr="00B104E2">
        <w:rPr>
          <w:rFonts w:ascii="IBM Plex Sans" w:hAnsi="IBM Plex Sans"/>
          <w:b/>
          <w:bCs/>
          <w:color w:val="000000" w:themeColor="text1"/>
        </w:rPr>
        <w:t xml:space="preserve">Component Diagram </w:t>
      </w:r>
    </w:p>
    <w:p w14:paraId="222322A9" w14:textId="2BC795DF" w:rsidR="00F270CD" w:rsidRPr="00B104E2" w:rsidRDefault="00551752" w:rsidP="00F270CD">
      <w:pPr>
        <w:rPr>
          <w:rFonts w:ascii="IBM Plex Sans" w:hAnsi="IBM Plex Sans"/>
        </w:rPr>
      </w:pPr>
      <w:r w:rsidRPr="00B104E2">
        <w:rPr>
          <w:rFonts w:ascii="IBM Plex Sans" w:hAnsi="IBM Plex Sans"/>
        </w:rPr>
        <w:t>Component diagrams represent a set of components and their relationships, consisting of classes, interfaces or collaborations.</w:t>
      </w:r>
    </w:p>
    <w:p w14:paraId="38F57028" w14:textId="77777777" w:rsidR="00F270CD" w:rsidRPr="00B104E2" w:rsidRDefault="00F270CD" w:rsidP="00F270CD">
      <w:pPr>
        <w:jc w:val="center"/>
        <w:rPr>
          <w:rFonts w:ascii="IBM Plex Sans" w:hAnsi="IBM Plex Sans"/>
        </w:rPr>
      </w:pPr>
      <w:r w:rsidRPr="00B104E2">
        <w:rPr>
          <w:rFonts w:ascii="IBM Plex Sans" w:hAnsi="IBM Plex Sans"/>
        </w:rPr>
        <w:t>[INSERT DIAGRAM HERE]</w:t>
      </w:r>
    </w:p>
    <w:p w14:paraId="71720828" w14:textId="17AFF774" w:rsidR="00091353" w:rsidRPr="00B104E2" w:rsidRDefault="00091353" w:rsidP="00091353">
      <w:pPr>
        <w:rPr>
          <w:rFonts w:ascii="IBM Plex Sans" w:hAnsi="IBM Plex Sans"/>
          <w:b/>
          <w:bCs/>
        </w:rPr>
      </w:pPr>
      <w:r w:rsidRPr="00B104E2">
        <w:rPr>
          <w:rFonts w:ascii="IBM Plex Sans" w:hAnsi="IBM Plex Sans"/>
          <w:b/>
          <w:bCs/>
        </w:rPr>
        <w:t>Deployment Diagram</w:t>
      </w:r>
    </w:p>
    <w:p w14:paraId="387FA0A9" w14:textId="108A7F36" w:rsidR="00F270CD" w:rsidRPr="00B104E2" w:rsidRDefault="00551752" w:rsidP="00F270CD">
      <w:pPr>
        <w:rPr>
          <w:rFonts w:ascii="IBM Plex Sans" w:hAnsi="IBM Plex Sans"/>
        </w:rPr>
      </w:pPr>
      <w:r w:rsidRPr="00B104E2">
        <w:rPr>
          <w:rFonts w:ascii="IBM Plex Sans" w:hAnsi="IBM Plex Sans"/>
        </w:rPr>
        <w:t>Deployment diagrams are a set of nodes and their relationships, based on the components provided in the Component Diagram.</w:t>
      </w:r>
      <w:r w:rsidR="00542592" w:rsidRPr="00B104E2">
        <w:rPr>
          <w:rFonts w:ascii="IBM Plex Sans" w:hAnsi="IBM Plex Sans"/>
        </w:rPr>
        <w:t xml:space="preserve"> These nodes are physical entities where the components are deployed.</w:t>
      </w:r>
    </w:p>
    <w:p w14:paraId="13434153" w14:textId="77777777" w:rsidR="00F270CD" w:rsidRPr="00B104E2" w:rsidRDefault="00F270CD" w:rsidP="00F270CD">
      <w:pPr>
        <w:jc w:val="center"/>
        <w:rPr>
          <w:rFonts w:ascii="IBM Plex Sans" w:hAnsi="IBM Plex Sans"/>
        </w:rPr>
      </w:pPr>
      <w:r w:rsidRPr="00B104E2">
        <w:rPr>
          <w:rFonts w:ascii="IBM Plex Sans" w:hAnsi="IBM Plex Sans"/>
        </w:rPr>
        <w:t>[INSERT DIAGRAM HERE]</w:t>
      </w:r>
    </w:p>
    <w:p w14:paraId="2B9EF1D4" w14:textId="5767269A" w:rsidR="00D37E83" w:rsidRPr="00B104E2" w:rsidRDefault="00D37E83" w:rsidP="00D37E83">
      <w:pPr>
        <w:rPr>
          <w:rFonts w:ascii="IBM Plex Sans" w:hAnsi="IBM Plex Sans"/>
        </w:rPr>
      </w:pPr>
      <w:r w:rsidRPr="00B104E2">
        <w:rPr>
          <w:rFonts w:ascii="IBM Plex Sans" w:hAnsi="IBM Plex Sans"/>
          <w:b/>
          <w:bCs/>
          <w:color w:val="0021A5" w:themeColor="accent1"/>
          <w:sz w:val="32"/>
          <w:szCs w:val="32"/>
        </w:rPr>
        <w:t>Behavioral Diagrams</w:t>
      </w:r>
    </w:p>
    <w:p w14:paraId="5BB32B66" w14:textId="1813BA9D" w:rsidR="00773377" w:rsidRPr="00B104E2" w:rsidRDefault="00C47515" w:rsidP="00773377">
      <w:pPr>
        <w:rPr>
          <w:rFonts w:ascii="IBM Plex Sans" w:hAnsi="IBM Plex Sans"/>
        </w:rPr>
      </w:pPr>
      <w:r w:rsidRPr="00B104E2">
        <w:rPr>
          <w:rFonts w:ascii="IBM Plex Sans" w:hAnsi="IBM Plex Sans"/>
        </w:rPr>
        <w:t xml:space="preserve">Unlike structural diagrams, behavior diagrams show the dynamic </w:t>
      </w:r>
      <w:r w:rsidR="00E27568" w:rsidRPr="00B104E2">
        <w:rPr>
          <w:rFonts w:ascii="IBM Plex Sans" w:hAnsi="IBM Plex Sans"/>
        </w:rPr>
        <w:t>behavior</w:t>
      </w:r>
      <w:r w:rsidR="007D3B42" w:rsidRPr="00B104E2">
        <w:rPr>
          <w:rFonts w:ascii="IBM Plex Sans" w:hAnsi="IBM Plex Sans"/>
        </w:rPr>
        <w:t xml:space="preserve"> of objects by showing collaborations among actors</w:t>
      </w:r>
      <w:r w:rsidR="001C65BF" w:rsidRPr="00B104E2">
        <w:rPr>
          <w:rFonts w:ascii="IBM Plex Sans" w:hAnsi="IBM Plex Sans"/>
        </w:rPr>
        <w:t>/</w:t>
      </w:r>
      <w:r w:rsidR="007D3B42" w:rsidRPr="00B104E2">
        <w:rPr>
          <w:rFonts w:ascii="IBM Plex Sans" w:hAnsi="IBM Plex Sans"/>
        </w:rPr>
        <w:t>objects and changes to the internal states of objects.</w:t>
      </w:r>
    </w:p>
    <w:p w14:paraId="6D85DD17" w14:textId="6107430F" w:rsidR="00A61881" w:rsidRPr="00B104E2" w:rsidRDefault="00A61881" w:rsidP="00A61881">
      <w:pPr>
        <w:rPr>
          <w:rFonts w:ascii="IBM Plex Sans" w:hAnsi="IBM Plex Sans"/>
          <w:b/>
          <w:bCs/>
        </w:rPr>
      </w:pPr>
      <w:r w:rsidRPr="00B104E2">
        <w:rPr>
          <w:rFonts w:ascii="IBM Plex Sans" w:hAnsi="IBM Plex Sans"/>
          <w:b/>
          <w:bCs/>
        </w:rPr>
        <w:t>Use Case Diagram</w:t>
      </w:r>
    </w:p>
    <w:p w14:paraId="75F9ACCF" w14:textId="22CD6362" w:rsidR="001B7559" w:rsidRPr="00B104E2" w:rsidRDefault="001B7559" w:rsidP="001B7559">
      <w:pPr>
        <w:rPr>
          <w:rFonts w:ascii="IBM Plex Sans" w:hAnsi="IBM Plex Sans"/>
          <w:color w:val="000000" w:themeColor="text1"/>
        </w:rPr>
      </w:pPr>
      <w:r w:rsidRPr="00B104E2">
        <w:rPr>
          <w:rFonts w:ascii="IBM Plex Sans" w:hAnsi="IBM Plex Sans"/>
          <w:color w:val="000000" w:themeColor="text1"/>
        </w:rPr>
        <w:t>Use case diagrams are a set of use cases, actors and their relationships.  They represent the use case view of a system and functionality of said system.  Hence, use case diagrams are used to describe the relationships among the functionalities and their internal/external controllers (actors).</w:t>
      </w:r>
    </w:p>
    <w:p w14:paraId="71415945" w14:textId="4928B71A" w:rsidR="001B7559" w:rsidRPr="00B104E2" w:rsidRDefault="001B7559" w:rsidP="001B7559">
      <w:pPr>
        <w:jc w:val="center"/>
        <w:rPr>
          <w:rFonts w:ascii="IBM Plex Sans" w:hAnsi="IBM Plex Sans"/>
          <w:color w:val="000000" w:themeColor="text1"/>
        </w:rPr>
      </w:pPr>
      <w:r w:rsidRPr="00B104E2">
        <w:rPr>
          <w:rFonts w:ascii="IBM Plex Sans" w:hAnsi="IBM Plex Sans"/>
          <w:color w:val="000000" w:themeColor="text1"/>
        </w:rPr>
        <w:t>[INSERT DIAGRAM HERE]</w:t>
      </w:r>
    </w:p>
    <w:p w14:paraId="730AA081" w14:textId="633D9B8B" w:rsidR="001B7559" w:rsidRPr="00B104E2" w:rsidRDefault="001B7559" w:rsidP="001B7559">
      <w:pPr>
        <w:pStyle w:val="Heading2"/>
        <w:rPr>
          <w:rFonts w:ascii="IBM Plex Sans" w:hAnsi="IBM Plex Sans"/>
          <w:color w:val="000000" w:themeColor="text1"/>
          <w:sz w:val="22"/>
          <w:szCs w:val="22"/>
        </w:rPr>
      </w:pPr>
      <w:bookmarkStart w:id="0" w:name="_Toc11662467"/>
      <w:r w:rsidRPr="00B104E2">
        <w:rPr>
          <w:rFonts w:ascii="IBM Plex Sans" w:hAnsi="IBM Plex Sans"/>
          <w:color w:val="000000" w:themeColor="text1"/>
          <w:sz w:val="22"/>
          <w:szCs w:val="22"/>
        </w:rPr>
        <w:t>Sequence Diagram</w:t>
      </w:r>
      <w:bookmarkEnd w:id="0"/>
    </w:p>
    <w:p w14:paraId="4D850D4B" w14:textId="5D12CDA1" w:rsidR="00A603D6" w:rsidRPr="00B104E2" w:rsidRDefault="00A603D6" w:rsidP="00A603D6">
      <w:pPr>
        <w:rPr>
          <w:rFonts w:ascii="IBM Plex Sans" w:hAnsi="IBM Plex Sans"/>
        </w:rPr>
      </w:pPr>
      <w:r w:rsidRPr="00B104E2">
        <w:rPr>
          <w:rFonts w:ascii="IBM Plex Sans" w:hAnsi="IBM Plex Sans"/>
        </w:rPr>
        <w:t>Sequence Diagrams are interactive diagrams, which show a sequence of messages flowing amongst objects.</w:t>
      </w:r>
    </w:p>
    <w:p w14:paraId="10190ED4" w14:textId="1323937A" w:rsidR="001B7559" w:rsidRPr="00B104E2" w:rsidRDefault="001B7559" w:rsidP="001B7559">
      <w:pPr>
        <w:jc w:val="center"/>
        <w:rPr>
          <w:rFonts w:ascii="IBM Plex Sans" w:hAnsi="IBM Plex Sans"/>
        </w:rPr>
      </w:pPr>
      <w:r w:rsidRPr="00B104E2">
        <w:rPr>
          <w:rFonts w:ascii="IBM Plex Sans" w:hAnsi="IBM Plex Sans"/>
        </w:rPr>
        <w:t>[INSERT DIAGRAM HERE]</w:t>
      </w:r>
    </w:p>
    <w:p w14:paraId="1C91A5ED" w14:textId="25ACB47C" w:rsidR="00A61881" w:rsidRPr="00B104E2" w:rsidRDefault="00A61881" w:rsidP="00A61881">
      <w:pPr>
        <w:rPr>
          <w:rFonts w:ascii="IBM Plex Sans" w:hAnsi="IBM Plex Sans"/>
          <w:b/>
          <w:bCs/>
        </w:rPr>
      </w:pPr>
      <w:r w:rsidRPr="00B104E2">
        <w:rPr>
          <w:rFonts w:ascii="IBM Plex Sans" w:hAnsi="IBM Plex Sans"/>
          <w:b/>
          <w:bCs/>
        </w:rPr>
        <w:t>Collaboration Diagram</w:t>
      </w:r>
    </w:p>
    <w:p w14:paraId="7B9A04D6" w14:textId="3E06ADAC" w:rsidR="001B7559" w:rsidRPr="00B104E2" w:rsidRDefault="00A603D6" w:rsidP="001B7559">
      <w:pPr>
        <w:rPr>
          <w:rFonts w:ascii="IBM Plex Sans" w:hAnsi="IBM Plex Sans"/>
        </w:rPr>
      </w:pPr>
      <w:r w:rsidRPr="00B104E2">
        <w:rPr>
          <w:rFonts w:ascii="IBM Plex Sans" w:hAnsi="IBM Plex Sans"/>
        </w:rPr>
        <w:t>Collaboration Diagrams are visualizations of the organization of objects and their interaction.</w:t>
      </w:r>
    </w:p>
    <w:p w14:paraId="0893CD39" w14:textId="694C3DCD" w:rsidR="001B7559" w:rsidRPr="00B104E2" w:rsidRDefault="001B7559" w:rsidP="001B7559">
      <w:pPr>
        <w:jc w:val="center"/>
        <w:rPr>
          <w:rFonts w:ascii="IBM Plex Sans" w:hAnsi="IBM Plex Sans"/>
        </w:rPr>
      </w:pPr>
      <w:bookmarkStart w:id="1" w:name="_Toc11662469"/>
      <w:r w:rsidRPr="00B104E2">
        <w:rPr>
          <w:rFonts w:ascii="IBM Plex Sans" w:hAnsi="IBM Plex Sans"/>
        </w:rPr>
        <w:t>[INSERT DIAGRAM HERE]</w:t>
      </w:r>
    </w:p>
    <w:bookmarkEnd w:id="1"/>
    <w:p w14:paraId="1182DAA7" w14:textId="0E888134" w:rsidR="00385EB7" w:rsidRPr="00B104E2" w:rsidRDefault="00385EB7" w:rsidP="00385EB7">
      <w:pPr>
        <w:rPr>
          <w:rFonts w:ascii="IBM Plex Sans" w:hAnsi="IBM Plex Sans"/>
          <w:b/>
          <w:bCs/>
        </w:rPr>
      </w:pPr>
      <w:r w:rsidRPr="00B104E2">
        <w:rPr>
          <w:rFonts w:ascii="IBM Plex Sans" w:hAnsi="IBM Plex Sans"/>
          <w:b/>
          <w:bCs/>
        </w:rPr>
        <w:t>State Diagram</w:t>
      </w:r>
    </w:p>
    <w:p w14:paraId="68C37D8D" w14:textId="0D9DD858" w:rsidR="001B7559" w:rsidRPr="00B104E2" w:rsidRDefault="00A603D6" w:rsidP="001B7559">
      <w:pPr>
        <w:rPr>
          <w:rFonts w:ascii="IBM Plex Sans" w:hAnsi="IBM Plex Sans"/>
        </w:rPr>
      </w:pPr>
      <w:r w:rsidRPr="00B104E2">
        <w:rPr>
          <w:rFonts w:ascii="IBM Plex Sans" w:hAnsi="IBM Plex Sans"/>
        </w:rPr>
        <w:t>State Diagrams represent the event driven state change of a system and the reaction of a system by internal/external factors.</w:t>
      </w:r>
    </w:p>
    <w:p w14:paraId="6F04299D" w14:textId="0F91882A" w:rsidR="001B7559" w:rsidRPr="00B104E2" w:rsidRDefault="001B7559" w:rsidP="00A603D6">
      <w:pPr>
        <w:jc w:val="center"/>
        <w:rPr>
          <w:rFonts w:ascii="IBM Plex Sans" w:hAnsi="IBM Plex Sans"/>
        </w:rPr>
      </w:pPr>
      <w:bookmarkStart w:id="2" w:name="_Toc11662470"/>
      <w:r w:rsidRPr="00B104E2">
        <w:rPr>
          <w:rFonts w:ascii="IBM Plex Sans" w:hAnsi="IBM Plex Sans"/>
        </w:rPr>
        <w:lastRenderedPageBreak/>
        <w:t>[INSERT DIAGRAM HERE]</w:t>
      </w:r>
    </w:p>
    <w:bookmarkEnd w:id="2"/>
    <w:p w14:paraId="482C653F" w14:textId="3719E7CD" w:rsidR="00385EB7" w:rsidRPr="00B104E2" w:rsidRDefault="00385EB7" w:rsidP="00385EB7">
      <w:pPr>
        <w:rPr>
          <w:rFonts w:ascii="IBM Plex Sans" w:hAnsi="IBM Plex Sans"/>
          <w:b/>
          <w:bCs/>
          <w:color w:val="000000" w:themeColor="text1"/>
        </w:rPr>
      </w:pPr>
      <w:r w:rsidRPr="00B104E2">
        <w:rPr>
          <w:rFonts w:ascii="IBM Plex Sans" w:hAnsi="IBM Plex Sans"/>
          <w:b/>
          <w:bCs/>
          <w:color w:val="000000" w:themeColor="text1"/>
        </w:rPr>
        <w:t>Activity Diagram</w:t>
      </w:r>
    </w:p>
    <w:p w14:paraId="5F560503" w14:textId="3C6A6923" w:rsidR="003F5B60" w:rsidRPr="00B104E2" w:rsidRDefault="003F5B60" w:rsidP="003F5B60">
      <w:pPr>
        <w:rPr>
          <w:rFonts w:ascii="IBM Plex Sans" w:hAnsi="IBM Plex Sans"/>
        </w:rPr>
      </w:pPr>
      <w:r w:rsidRPr="00B104E2">
        <w:rPr>
          <w:rFonts w:ascii="IBM Plex Sans" w:hAnsi="IBM Plex Sans"/>
        </w:rPr>
        <w:t>Activity Diagrams describe the flow of control in a system with activities and links. Flows can be sequential, concurrent or branched. Activity diagrams are used to visualize the flow of controls in a system.</w:t>
      </w:r>
    </w:p>
    <w:p w14:paraId="265874B8" w14:textId="6E081C40" w:rsidR="001B7559" w:rsidRPr="00B104E2" w:rsidRDefault="001B7559" w:rsidP="001B7559">
      <w:pPr>
        <w:jc w:val="center"/>
        <w:rPr>
          <w:rFonts w:ascii="IBM Plex Sans" w:hAnsi="IBM Plex Sans"/>
        </w:rPr>
      </w:pPr>
      <w:r w:rsidRPr="00B104E2">
        <w:rPr>
          <w:rFonts w:ascii="IBM Plex Sans" w:hAnsi="IBM Plex Sans"/>
        </w:rPr>
        <w:t>[INSERT DIAGRAM HERE]</w:t>
      </w:r>
    </w:p>
    <w:p w14:paraId="4830BAC3" w14:textId="107999E4" w:rsidR="00384E6C" w:rsidRPr="00B104E2" w:rsidRDefault="00384E6C">
      <w:pPr>
        <w:rPr>
          <w:rFonts w:ascii="IBM Plex Sans" w:hAnsi="IBM Plex Sans"/>
        </w:rPr>
      </w:pPr>
      <w:r w:rsidRPr="00B104E2">
        <w:rPr>
          <w:rFonts w:ascii="IBM Plex Sans" w:hAnsi="IBM Plex Sans"/>
        </w:rPr>
        <w:br w:type="page"/>
      </w:r>
    </w:p>
    <w:bookmarkStart w:id="3" w:name="_Toc11662471" w:displacedByCustomXml="next"/>
    <w:sdt>
      <w:sdtPr>
        <w:rPr>
          <w:rFonts w:ascii="IBM Plex Sans" w:hAnsi="IBM Plex Sans"/>
          <w:b/>
          <w:smallCaps/>
          <w:sz w:val="24"/>
        </w:rPr>
        <w:id w:val="-1457780834"/>
        <w:docPartObj>
          <w:docPartGallery w:val="Bibliographies"/>
          <w:docPartUnique/>
        </w:docPartObj>
      </w:sdtPr>
      <w:sdtEndPr>
        <w:rPr>
          <w:b w:val="0"/>
          <w:bCs/>
          <w:smallCaps w:val="0"/>
          <w:sz w:val="22"/>
        </w:rPr>
      </w:sdtEndPr>
      <w:sdtContent>
        <w:bookmarkEnd w:id="3" w:displacedByCustomXml="prev"/>
        <w:p w14:paraId="047B0807" w14:textId="38B9FEF8" w:rsidR="00385EB7" w:rsidRPr="00B104E2" w:rsidRDefault="00385EB7" w:rsidP="00385EB7">
          <w:pPr>
            <w:pStyle w:val="NoSpacing"/>
            <w:rPr>
              <w:rFonts w:ascii="IBM Plex Sans" w:hAnsi="IBM Plex Sans"/>
              <w:b/>
              <w:bCs/>
              <w:color w:val="0021A5" w:themeColor="accent1"/>
              <w:sz w:val="32"/>
              <w:szCs w:val="32"/>
            </w:rPr>
          </w:pPr>
          <w:r w:rsidRPr="00B104E2">
            <w:rPr>
              <w:rFonts w:ascii="IBM Plex Sans" w:hAnsi="IBM Plex Sans"/>
              <w:b/>
              <w:bCs/>
              <w:color w:val="0021A5" w:themeColor="accent1"/>
              <w:sz w:val="32"/>
              <w:szCs w:val="32"/>
            </w:rPr>
            <w:t>Works Cited</w:t>
          </w:r>
        </w:p>
        <w:p w14:paraId="1FC97EC1" w14:textId="77777777" w:rsidR="00CE17F5" w:rsidRPr="00B104E2" w:rsidRDefault="00384E6C" w:rsidP="00CE17F5">
          <w:pPr>
            <w:pStyle w:val="Bibliography"/>
            <w:ind w:left="720" w:hanging="720"/>
            <w:rPr>
              <w:rFonts w:ascii="IBM Plex Sans" w:hAnsi="IBM Plex Sans"/>
              <w:noProof/>
              <w:sz w:val="22"/>
              <w:szCs w:val="22"/>
            </w:rPr>
          </w:pPr>
          <w:r w:rsidRPr="00B104E2">
            <w:rPr>
              <w:rFonts w:ascii="IBM Plex Sans" w:hAnsi="IBM Plex Sans"/>
              <w:sz w:val="22"/>
              <w:szCs w:val="22"/>
            </w:rPr>
            <w:fldChar w:fldCharType="begin"/>
          </w:r>
          <w:r w:rsidRPr="00B104E2">
            <w:rPr>
              <w:rFonts w:ascii="IBM Plex Sans" w:hAnsi="IBM Plex Sans"/>
              <w:sz w:val="22"/>
              <w:szCs w:val="22"/>
            </w:rPr>
            <w:instrText xml:space="preserve"> BIBLIOGRAPHY </w:instrText>
          </w:r>
          <w:r w:rsidRPr="00B104E2">
            <w:rPr>
              <w:rFonts w:ascii="IBM Plex Sans" w:hAnsi="IBM Plex Sans"/>
              <w:sz w:val="22"/>
              <w:szCs w:val="22"/>
            </w:rPr>
            <w:fldChar w:fldCharType="separate"/>
          </w:r>
          <w:r w:rsidR="00CE17F5" w:rsidRPr="00B104E2">
            <w:rPr>
              <w:rFonts w:ascii="IBM Plex Sans" w:hAnsi="IBM Plex Sans"/>
              <w:noProof/>
              <w:sz w:val="22"/>
              <w:szCs w:val="22"/>
            </w:rPr>
            <w:t xml:space="preserve">Project Management Institute. (2016). Requirements Management: A Practice Guide. In </w:t>
          </w:r>
          <w:r w:rsidR="00CE17F5" w:rsidRPr="00B104E2">
            <w:rPr>
              <w:rFonts w:ascii="IBM Plex Sans" w:hAnsi="IBM Plex Sans"/>
              <w:i/>
              <w:iCs/>
              <w:noProof/>
              <w:sz w:val="22"/>
              <w:szCs w:val="22"/>
            </w:rPr>
            <w:t>Requirements Management: A Practice Guide</w:t>
          </w:r>
          <w:r w:rsidR="00CE17F5" w:rsidRPr="00B104E2">
            <w:rPr>
              <w:rFonts w:ascii="IBM Plex Sans" w:hAnsi="IBM Plex Sans"/>
              <w:noProof/>
              <w:sz w:val="22"/>
              <w:szCs w:val="22"/>
            </w:rPr>
            <w:t xml:space="preserve"> (pp. 64-74). Newtown Square, Pennsylvania: PMI Publications.</w:t>
          </w:r>
        </w:p>
        <w:p w14:paraId="072C9D9F" w14:textId="77777777" w:rsidR="00384E6C" w:rsidRPr="00B104E2" w:rsidRDefault="00384E6C" w:rsidP="00CE17F5">
          <w:pPr>
            <w:rPr>
              <w:rFonts w:ascii="IBM Plex Sans" w:hAnsi="IBM Plex Sans"/>
            </w:rPr>
          </w:pPr>
          <w:r w:rsidRPr="00B104E2">
            <w:rPr>
              <w:rFonts w:ascii="IBM Plex Sans" w:hAnsi="IBM Plex Sans"/>
              <w:b/>
              <w:bCs/>
            </w:rPr>
            <w:fldChar w:fldCharType="end"/>
          </w:r>
        </w:p>
      </w:sdtContent>
    </w:sdt>
    <w:p w14:paraId="55A78F90" w14:textId="77777777" w:rsidR="00384E6C" w:rsidRPr="00B104E2" w:rsidRDefault="00384E6C" w:rsidP="00384E6C">
      <w:pPr>
        <w:rPr>
          <w:rFonts w:ascii="IBM Plex Sans" w:hAnsi="IBM Plex Sans"/>
        </w:rPr>
      </w:pPr>
      <w:r w:rsidRPr="00B104E2">
        <w:rPr>
          <w:rFonts w:ascii="IBM Plex Sans" w:hAnsi="IBM Plex Sans"/>
        </w:rPr>
        <w:br w:type="page"/>
      </w:r>
    </w:p>
    <w:p w14:paraId="31329491" w14:textId="01D02D1A" w:rsidR="00385EB7" w:rsidRPr="00B104E2" w:rsidRDefault="00385EB7" w:rsidP="00385EB7">
      <w:pPr>
        <w:rPr>
          <w:rFonts w:ascii="IBM Plex Sans" w:hAnsi="IBM Plex Sans"/>
          <w:b/>
          <w:bCs/>
          <w:color w:val="0021A5" w:themeColor="accent1"/>
          <w:sz w:val="32"/>
          <w:szCs w:val="32"/>
        </w:rPr>
      </w:pPr>
      <w:r w:rsidRPr="00B104E2">
        <w:rPr>
          <w:rFonts w:ascii="IBM Plex Sans" w:hAnsi="IBM Plex Sans"/>
          <w:b/>
          <w:bCs/>
          <w:color w:val="0021A5" w:themeColor="accent1"/>
          <w:sz w:val="32"/>
          <w:szCs w:val="32"/>
        </w:rPr>
        <w:lastRenderedPageBreak/>
        <w:t>Glossary</w:t>
      </w:r>
    </w:p>
    <w:p w14:paraId="39EB1CC1" w14:textId="77777777" w:rsidR="00384E6C" w:rsidRPr="00B104E2" w:rsidRDefault="00384E6C" w:rsidP="00384E6C">
      <w:pPr>
        <w:rPr>
          <w:rFonts w:ascii="IBM Plex Sans" w:hAnsi="IBM Plex Sans"/>
          <w:iCs/>
        </w:rPr>
      </w:pPr>
      <w:r w:rsidRPr="00B104E2">
        <w:rPr>
          <w:rFonts w:ascii="IBM Plex Sans" w:hAnsi="IBM Plex Sans"/>
          <w:iCs/>
        </w:rPr>
        <w:t xml:space="preserve">All terminology in this section was pulled directly from the Project Management Institute’s Requirements Management: A Practice Guide </w:t>
      </w:r>
      <w:sdt>
        <w:sdtPr>
          <w:rPr>
            <w:rFonts w:ascii="IBM Plex Sans" w:hAnsi="IBM Plex Sans"/>
            <w:iCs/>
          </w:rPr>
          <w:id w:val="2125881332"/>
          <w:citation/>
        </w:sdtPr>
        <w:sdtEndPr/>
        <w:sdtContent>
          <w:r w:rsidRPr="00B104E2">
            <w:rPr>
              <w:rFonts w:ascii="IBM Plex Sans" w:hAnsi="IBM Plex Sans"/>
              <w:iCs/>
            </w:rPr>
            <w:fldChar w:fldCharType="begin"/>
          </w:r>
          <w:r w:rsidRPr="00B104E2">
            <w:rPr>
              <w:rFonts w:ascii="IBM Plex Sans" w:hAnsi="IBM Plex Sans"/>
              <w:iCs/>
            </w:rPr>
            <w:instrText xml:space="preserve">CITATION Pro16 \p 64-74 \n  \y  \t  \l 1033 </w:instrText>
          </w:r>
          <w:r w:rsidRPr="00B104E2">
            <w:rPr>
              <w:rFonts w:ascii="IBM Plex Sans" w:hAnsi="IBM Plex Sans"/>
              <w:iCs/>
            </w:rPr>
            <w:fldChar w:fldCharType="separate"/>
          </w:r>
          <w:r w:rsidRPr="00B104E2">
            <w:rPr>
              <w:rFonts w:ascii="IBM Plex Sans" w:hAnsi="IBM Plex Sans"/>
              <w:iCs/>
              <w:noProof/>
            </w:rPr>
            <w:t>(pp. 64-74)</w:t>
          </w:r>
          <w:r w:rsidRPr="00B104E2">
            <w:rPr>
              <w:rFonts w:ascii="IBM Plex Sans" w:hAnsi="IBM Plex Sans"/>
              <w:iCs/>
            </w:rPr>
            <w:fldChar w:fldCharType="end"/>
          </w:r>
        </w:sdtContent>
      </w:sdt>
      <w:r w:rsidRPr="00B104E2">
        <w:rPr>
          <w:rFonts w:ascii="IBM Plex Sans" w:hAnsi="IBM Plex Sans"/>
          <w:iCs/>
        </w:rPr>
        <w:t>.</w:t>
      </w:r>
    </w:p>
    <w:p w14:paraId="0BBAE2F8" w14:textId="77777777" w:rsidR="00384E6C" w:rsidRPr="00B104E2" w:rsidRDefault="00384E6C" w:rsidP="00384E6C">
      <w:pPr>
        <w:spacing w:before="240" w:after="240"/>
        <w:jc w:val="both"/>
        <w:rPr>
          <w:rFonts w:ascii="IBM Plex Sans" w:hAnsi="IBM Plex Sans"/>
        </w:rPr>
      </w:pPr>
      <w:r w:rsidRPr="00B104E2">
        <w:rPr>
          <w:rFonts w:ascii="IBM Plex Sans" w:hAnsi="IBM Plex Sans"/>
          <w:b/>
        </w:rPr>
        <w:t>Business Requirements.</w:t>
      </w:r>
      <w:r w:rsidRPr="00B104E2">
        <w:rPr>
          <w:rFonts w:ascii="IBM Plex Sans" w:hAnsi="IBM Plex Sans"/>
        </w:rPr>
        <w:t xml:space="preserve"> Requirements that describe the higher-level needs of the organization, such as the business issues or opportunities, and which provide the rationale for why a project is being undertaken.</w:t>
      </w:r>
    </w:p>
    <w:p w14:paraId="1BA2092E" w14:textId="77777777" w:rsidR="00384E6C" w:rsidRPr="00B104E2" w:rsidRDefault="00384E6C" w:rsidP="00384E6C">
      <w:pPr>
        <w:spacing w:before="240" w:after="240"/>
        <w:jc w:val="both"/>
        <w:rPr>
          <w:rFonts w:ascii="IBM Plex Sans" w:hAnsi="IBM Plex Sans"/>
        </w:rPr>
      </w:pPr>
      <w:r w:rsidRPr="00B104E2">
        <w:rPr>
          <w:rFonts w:ascii="IBM Plex Sans" w:hAnsi="IBM Plex Sans"/>
          <w:b/>
        </w:rPr>
        <w:t>Functional Requirements.</w:t>
      </w:r>
      <w:r w:rsidRPr="00B104E2">
        <w:rPr>
          <w:rFonts w:ascii="IBM Plex Sans" w:hAnsi="IBM Plex Sans"/>
        </w:rPr>
        <w:t xml:space="preserve"> Requirements that describe the </w:t>
      </w:r>
      <w:r w:rsidRPr="00B104E2">
        <w:rPr>
          <w:rFonts w:ascii="IBM Plex Sans" w:hAnsi="IBM Plex Sans"/>
          <w:i/>
        </w:rPr>
        <w:t>behaviors</w:t>
      </w:r>
      <w:r w:rsidRPr="00B104E2">
        <w:rPr>
          <w:rFonts w:ascii="IBM Plex Sans" w:hAnsi="IBM Plex Sans"/>
        </w:rPr>
        <w:t xml:space="preserve"> of a product.</w:t>
      </w:r>
    </w:p>
    <w:p w14:paraId="3246EF52" w14:textId="54BF63A1" w:rsidR="00384E6C" w:rsidRPr="00B104E2" w:rsidRDefault="00384E6C" w:rsidP="00384E6C">
      <w:pPr>
        <w:spacing w:before="240" w:after="240"/>
        <w:jc w:val="both"/>
        <w:rPr>
          <w:rFonts w:ascii="IBM Plex Sans" w:hAnsi="IBM Plex Sans"/>
        </w:rPr>
      </w:pPr>
      <w:proofErr w:type="spellStart"/>
      <w:r w:rsidRPr="00B104E2">
        <w:rPr>
          <w:rFonts w:ascii="IBM Plex Sans" w:hAnsi="IBM Plex Sans"/>
          <w:b/>
        </w:rPr>
        <w:t>MoSCoW</w:t>
      </w:r>
      <w:proofErr w:type="spellEnd"/>
      <w:r w:rsidRPr="00B104E2">
        <w:rPr>
          <w:rFonts w:ascii="IBM Plex Sans" w:hAnsi="IBM Plex Sans"/>
          <w:b/>
        </w:rPr>
        <w:t>.</w:t>
      </w:r>
      <w:r w:rsidRPr="00B104E2">
        <w:rPr>
          <w:rFonts w:ascii="IBM Plex Sans" w:hAnsi="IBM Plex Sans"/>
        </w:rPr>
        <w:t xml:space="preserve"> A technique used for establishing requirement priorities. In this technique, the participants divide the requirements into four categories of must haves, should haves, could haves and </w:t>
      </w:r>
      <w:r w:rsidR="002D6D6B" w:rsidRPr="00B104E2">
        <w:rPr>
          <w:rFonts w:ascii="IBM Plex Sans" w:hAnsi="IBM Plex Sans"/>
          <w:u w:color="FF0000"/>
        </w:rPr>
        <w:t>won’t haves</w:t>
      </w:r>
      <w:r w:rsidRPr="00B104E2">
        <w:rPr>
          <w:rFonts w:ascii="IBM Plex Sans" w:hAnsi="IBM Plex Sans"/>
        </w:rPr>
        <w:t>.</w:t>
      </w:r>
    </w:p>
    <w:p w14:paraId="6657ECCF" w14:textId="4D5DFD77" w:rsidR="00384E6C" w:rsidRPr="00B104E2" w:rsidRDefault="00384E6C" w:rsidP="00384E6C">
      <w:pPr>
        <w:spacing w:before="240" w:after="240"/>
        <w:jc w:val="both"/>
        <w:rPr>
          <w:rFonts w:ascii="IBM Plex Sans" w:hAnsi="IBM Plex Sans"/>
        </w:rPr>
      </w:pPr>
      <w:r w:rsidRPr="00B104E2">
        <w:rPr>
          <w:rFonts w:ascii="IBM Plex Sans" w:hAnsi="IBM Plex Sans"/>
          <w:b/>
        </w:rPr>
        <w:t>Nonfunctional Requirements.</w:t>
      </w:r>
      <w:r w:rsidRPr="00B104E2">
        <w:rPr>
          <w:rFonts w:ascii="IBM Plex Sans" w:hAnsi="IBM Plex Sans"/>
        </w:rPr>
        <w:t xml:space="preserve"> Requirements that express </w:t>
      </w:r>
      <w:r w:rsidRPr="00B104E2">
        <w:rPr>
          <w:rFonts w:ascii="IBM Plex Sans" w:hAnsi="IBM Plex Sans"/>
          <w:i/>
        </w:rPr>
        <w:t xml:space="preserve">properties </w:t>
      </w:r>
      <w:r w:rsidRPr="00B104E2">
        <w:rPr>
          <w:rFonts w:ascii="IBM Plex Sans" w:hAnsi="IBM Plex Sans"/>
        </w:rPr>
        <w:t>that the product is required to have, including interface, environment and quality attribute properties.</w:t>
      </w:r>
    </w:p>
    <w:p w14:paraId="5624C11A" w14:textId="29D1A03D" w:rsidR="00384E6C" w:rsidRPr="00B104E2" w:rsidRDefault="00384E6C" w:rsidP="00384E6C">
      <w:pPr>
        <w:spacing w:before="240" w:after="240"/>
        <w:jc w:val="both"/>
        <w:rPr>
          <w:rFonts w:ascii="IBM Plex Sans" w:hAnsi="IBM Plex Sans"/>
        </w:rPr>
      </w:pPr>
      <w:r w:rsidRPr="00B104E2">
        <w:rPr>
          <w:rFonts w:ascii="IBM Plex Sans" w:hAnsi="IBM Plex Sans"/>
          <w:b/>
        </w:rPr>
        <w:t>Project.</w:t>
      </w:r>
      <w:r w:rsidRPr="00B104E2">
        <w:rPr>
          <w:rFonts w:ascii="IBM Plex Sans" w:hAnsi="IBM Plex Sans"/>
        </w:rPr>
        <w:t xml:space="preserve"> A temporary endeavor undertaken to create a unique product, service or result.</w:t>
      </w:r>
    </w:p>
    <w:p w14:paraId="5B10DE9B" w14:textId="69FD0E1D" w:rsidR="00384E6C" w:rsidRPr="00B104E2" w:rsidRDefault="00384E6C" w:rsidP="00384E6C">
      <w:pPr>
        <w:spacing w:before="240" w:after="240"/>
        <w:jc w:val="both"/>
        <w:rPr>
          <w:rFonts w:ascii="IBM Plex Sans" w:hAnsi="IBM Plex Sans"/>
        </w:rPr>
      </w:pPr>
      <w:r w:rsidRPr="00B104E2">
        <w:rPr>
          <w:rFonts w:ascii="IBM Plex Sans" w:hAnsi="IBM Plex Sans"/>
          <w:b/>
        </w:rPr>
        <w:t>Project Management.</w:t>
      </w:r>
      <w:r w:rsidRPr="00B104E2">
        <w:rPr>
          <w:rFonts w:ascii="IBM Plex Sans" w:hAnsi="IBM Plex Sans"/>
        </w:rPr>
        <w:t xml:space="preserve"> The application of knowledge, skills, tools and techniques to project activities to meet the project requirements.</w:t>
      </w:r>
    </w:p>
    <w:p w14:paraId="3138CA2F" w14:textId="2C135317" w:rsidR="00384E6C" w:rsidRPr="00B104E2" w:rsidRDefault="00384E6C" w:rsidP="00384E6C">
      <w:pPr>
        <w:spacing w:before="240" w:after="240"/>
        <w:jc w:val="both"/>
        <w:rPr>
          <w:rFonts w:ascii="IBM Plex Sans" w:hAnsi="IBM Plex Sans"/>
        </w:rPr>
      </w:pPr>
      <w:r w:rsidRPr="00B104E2">
        <w:rPr>
          <w:rFonts w:ascii="IBM Plex Sans" w:hAnsi="IBM Plex Sans"/>
          <w:b/>
        </w:rPr>
        <w:t>Requirement.</w:t>
      </w:r>
      <w:r w:rsidRPr="00B104E2">
        <w:rPr>
          <w:rFonts w:ascii="IBM Plex Sans" w:hAnsi="IBM Plex Sans"/>
        </w:rPr>
        <w:t xml:space="preserve"> A condition or capability that is required to be present in a product, service or result to satisfy a contract or other formally imposed specification.</w:t>
      </w:r>
    </w:p>
    <w:p w14:paraId="6AB139CC" w14:textId="77777777" w:rsidR="00384E6C" w:rsidRPr="00B104E2" w:rsidRDefault="00384E6C" w:rsidP="00384E6C">
      <w:pPr>
        <w:spacing w:before="240" w:after="240"/>
        <w:jc w:val="both"/>
        <w:rPr>
          <w:rFonts w:ascii="IBM Plex Sans" w:hAnsi="IBM Plex Sans"/>
        </w:rPr>
      </w:pPr>
      <w:r w:rsidRPr="00B104E2">
        <w:rPr>
          <w:rFonts w:ascii="IBM Plex Sans" w:hAnsi="IBM Plex Sans"/>
          <w:b/>
        </w:rPr>
        <w:t>Requirements Life Cycle.</w:t>
      </w:r>
      <w:r w:rsidRPr="00B104E2">
        <w:rPr>
          <w:rFonts w:ascii="IBM Plex Sans" w:hAnsi="IBM Plex Sans"/>
        </w:rPr>
        <w:t xml:space="preserve"> The flow or life of a requirement throughout a project or program. The requirements life cycle is managed by assigning an attribute or qualifier onto the requirement to depict the requirement state at a specified point in time.</w:t>
      </w:r>
    </w:p>
    <w:p w14:paraId="2C034750" w14:textId="77777777" w:rsidR="00384E6C" w:rsidRPr="00B104E2" w:rsidRDefault="00384E6C" w:rsidP="00384E6C">
      <w:pPr>
        <w:spacing w:before="240" w:after="240"/>
        <w:jc w:val="both"/>
        <w:rPr>
          <w:rFonts w:ascii="IBM Plex Sans" w:hAnsi="IBM Plex Sans"/>
        </w:rPr>
      </w:pPr>
      <w:r w:rsidRPr="00B104E2">
        <w:rPr>
          <w:rFonts w:ascii="IBM Plex Sans" w:hAnsi="IBM Plex Sans"/>
          <w:b/>
        </w:rPr>
        <w:t>Requirements Traceability Matrix.</w:t>
      </w:r>
      <w:r w:rsidRPr="00B104E2">
        <w:rPr>
          <w:rFonts w:ascii="IBM Plex Sans" w:hAnsi="IBM Plex Sans"/>
        </w:rPr>
        <w:t xml:space="preserve"> A grid that links product requirements from their origin to the deliverables that satisfy them.</w:t>
      </w:r>
    </w:p>
    <w:p w14:paraId="14D399BD" w14:textId="77777777" w:rsidR="00384E6C" w:rsidRPr="00B104E2" w:rsidRDefault="00384E6C" w:rsidP="00384E6C">
      <w:pPr>
        <w:spacing w:before="240" w:after="240"/>
        <w:jc w:val="both"/>
        <w:rPr>
          <w:rFonts w:ascii="IBM Plex Sans" w:hAnsi="IBM Plex Sans"/>
        </w:rPr>
      </w:pPr>
      <w:r w:rsidRPr="00B104E2">
        <w:rPr>
          <w:rFonts w:ascii="IBM Plex Sans" w:hAnsi="IBM Plex Sans"/>
          <w:b/>
        </w:rPr>
        <w:t>Transition Requirements.</w:t>
      </w:r>
      <w:r w:rsidRPr="00B104E2">
        <w:rPr>
          <w:rFonts w:ascii="IBM Plex Sans" w:hAnsi="IBM Plex Sans"/>
        </w:rPr>
        <w:t xml:space="preserve"> Requirements that are the temporary capabilities, such as data conversion and training requirements, needed to transition from the current as-is state to the future state.</w:t>
      </w:r>
    </w:p>
    <w:p w14:paraId="21AE877B" w14:textId="6B230DEF" w:rsidR="000802A3" w:rsidRPr="00B104E2" w:rsidRDefault="00384E6C" w:rsidP="000802A3">
      <w:pPr>
        <w:spacing w:before="240" w:after="240"/>
        <w:jc w:val="both"/>
        <w:rPr>
          <w:rFonts w:ascii="IBM Plex Sans" w:hAnsi="IBM Plex Sans"/>
        </w:rPr>
      </w:pPr>
      <w:r w:rsidRPr="00B104E2">
        <w:rPr>
          <w:rFonts w:ascii="IBM Plex Sans" w:hAnsi="IBM Plex Sans"/>
          <w:b/>
        </w:rPr>
        <w:t>Use Case.</w:t>
      </w:r>
      <w:r w:rsidRPr="00B104E2">
        <w:rPr>
          <w:rFonts w:ascii="IBM Plex Sans" w:hAnsi="IBM Plex Sans"/>
        </w:rPr>
        <w:t xml:space="preserve"> An analysis model that describes a flow of actor-system interactions and boundaries for those interactions, including trigger, initiating and participating actors, and preconditions and post conditions.</w:t>
      </w:r>
    </w:p>
    <w:p w14:paraId="3ADA77D2" w14:textId="6A337FA4" w:rsidR="000802A3" w:rsidRPr="00B104E2" w:rsidRDefault="000802A3">
      <w:pPr>
        <w:rPr>
          <w:rFonts w:ascii="IBM Plex Sans" w:hAnsi="IBM Plex Sans"/>
        </w:rPr>
      </w:pPr>
      <w:r w:rsidRPr="00B104E2">
        <w:rPr>
          <w:rFonts w:ascii="IBM Plex Sans" w:hAnsi="IBM Plex Sans"/>
        </w:rPr>
        <w:br w:type="page"/>
      </w:r>
    </w:p>
    <w:p w14:paraId="1C0BD9A0" w14:textId="6A709D57" w:rsidR="00385EB7" w:rsidRPr="00B104E2" w:rsidRDefault="00385EB7" w:rsidP="00385EB7">
      <w:pPr>
        <w:rPr>
          <w:rFonts w:ascii="IBM Plex Sans" w:hAnsi="IBM Plex Sans"/>
          <w:b/>
          <w:bCs/>
          <w:color w:val="0021A5" w:themeColor="accent1"/>
          <w:sz w:val="32"/>
          <w:szCs w:val="32"/>
        </w:rPr>
      </w:pPr>
      <w:r w:rsidRPr="00B104E2">
        <w:rPr>
          <w:rFonts w:ascii="IBM Plex Sans" w:hAnsi="IBM Plex Sans"/>
          <w:b/>
          <w:bCs/>
          <w:color w:val="0021A5" w:themeColor="accent1"/>
          <w:sz w:val="32"/>
          <w:szCs w:val="32"/>
        </w:rPr>
        <w:lastRenderedPageBreak/>
        <w:t>Sign-Off</w:t>
      </w:r>
    </w:p>
    <w:sectPr w:rsidR="00385EB7" w:rsidRPr="00B104E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4D77A" w14:textId="77777777" w:rsidR="00E054A3" w:rsidRDefault="00E054A3" w:rsidP="00F31E47">
      <w:pPr>
        <w:spacing w:after="0" w:line="240" w:lineRule="auto"/>
      </w:pPr>
      <w:r>
        <w:separator/>
      </w:r>
    </w:p>
  </w:endnote>
  <w:endnote w:type="continuationSeparator" w:id="0">
    <w:p w14:paraId="71BEC9A7" w14:textId="77777777" w:rsidR="00E054A3" w:rsidRDefault="00E054A3" w:rsidP="00F31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IBM Plex Sans">
    <w:panose1 w:val="020B0503050203000203"/>
    <w:charset w:val="00"/>
    <w:family w:val="swiss"/>
    <w:notTrueType/>
    <w:pitch w:val="variable"/>
    <w:sig w:usb0="A00002EF" w:usb1="5000207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746198"/>
      <w:docPartObj>
        <w:docPartGallery w:val="Page Numbers (Bottom of Page)"/>
        <w:docPartUnique/>
      </w:docPartObj>
    </w:sdtPr>
    <w:sdtEndPr/>
    <w:sdtContent>
      <w:sdt>
        <w:sdtPr>
          <w:id w:val="1728636285"/>
          <w:docPartObj>
            <w:docPartGallery w:val="Page Numbers (Top of Page)"/>
            <w:docPartUnique/>
          </w:docPartObj>
        </w:sdtPr>
        <w:sdtEndPr/>
        <w:sdtContent>
          <w:p w14:paraId="451C305C" w14:textId="17FF90F0" w:rsidR="00F31E47" w:rsidRPr="00024E67" w:rsidRDefault="00B104E2" w:rsidP="00F31E47">
            <w:pPr>
              <w:pStyle w:val="Footer"/>
              <w:jc w:val="center"/>
              <w:rPr>
                <w:rFonts w:ascii="IBM Plex Sans" w:hAnsi="IBM Plex Sans"/>
                <w:b/>
                <w:bCs/>
              </w:rPr>
            </w:pPr>
            <w:sdt>
              <w:sdtPr>
                <w:rPr>
                  <w:rFonts w:ascii="IBM Plex Sans" w:hAnsi="IBM Plex Sans"/>
                  <w:b/>
                  <w:bCs/>
                </w:rPr>
                <w:alias w:val="Title"/>
                <w:tag w:val=""/>
                <w:id w:val="-1112437022"/>
                <w:placeholder>
                  <w:docPart w:val="AF74982CD1E94D31ACD1CAFD5D4D91BE"/>
                </w:placeholder>
                <w:dataBinding w:prefixMappings="xmlns:ns0='http://purl.org/dc/elements/1.1/' xmlns:ns1='http://schemas.openxmlformats.org/package/2006/metadata/core-properties' " w:xpath="/ns1:coreProperties[1]/ns0:title[1]" w:storeItemID="{6C3C8BC8-F283-45AE-878A-BAB7291924A1}"/>
                <w:text/>
              </w:sdtPr>
              <w:sdtEndPr/>
              <w:sdtContent>
                <w:r w:rsidR="00101929" w:rsidRPr="00024E67">
                  <w:rPr>
                    <w:rFonts w:ascii="IBM Plex Sans" w:hAnsi="IBM Plex Sans"/>
                    <w:b/>
                    <w:bCs/>
                  </w:rPr>
                  <w:t>UFIT Requirements Specification</w:t>
                </w:r>
              </w:sdtContent>
            </w:sdt>
            <w:r w:rsidR="00F31E47" w:rsidRPr="00024E67">
              <w:rPr>
                <w:rFonts w:ascii="IBM Plex Sans" w:hAnsi="IBM Plex Sans"/>
              </w:rPr>
              <w:t xml:space="preserve">, Page </w:t>
            </w:r>
            <w:r w:rsidR="00F31E47" w:rsidRPr="00024E67">
              <w:rPr>
                <w:rFonts w:ascii="IBM Plex Sans" w:hAnsi="IBM Plex Sans"/>
              </w:rPr>
              <w:fldChar w:fldCharType="begin"/>
            </w:r>
            <w:r w:rsidR="00F31E47" w:rsidRPr="00024E67">
              <w:rPr>
                <w:rFonts w:ascii="IBM Plex Sans" w:hAnsi="IBM Plex Sans"/>
              </w:rPr>
              <w:instrText xml:space="preserve"> PAGE </w:instrText>
            </w:r>
            <w:r w:rsidR="00F31E47" w:rsidRPr="00024E67">
              <w:rPr>
                <w:rFonts w:ascii="IBM Plex Sans" w:hAnsi="IBM Plex Sans"/>
              </w:rPr>
              <w:fldChar w:fldCharType="separate"/>
            </w:r>
            <w:r w:rsidR="00F31E47" w:rsidRPr="00024E67">
              <w:rPr>
                <w:rFonts w:ascii="IBM Plex Sans" w:hAnsi="IBM Plex Sans"/>
                <w:noProof/>
              </w:rPr>
              <w:t>2</w:t>
            </w:r>
            <w:r w:rsidR="00F31E47" w:rsidRPr="00024E67">
              <w:rPr>
                <w:rFonts w:ascii="IBM Plex Sans" w:hAnsi="IBM Plex Sans"/>
              </w:rPr>
              <w:fldChar w:fldCharType="end"/>
            </w:r>
            <w:r w:rsidR="00F31E47" w:rsidRPr="00024E67">
              <w:rPr>
                <w:rFonts w:ascii="IBM Plex Sans" w:hAnsi="IBM Plex Sans"/>
              </w:rPr>
              <w:t xml:space="preserve"> of </w:t>
            </w:r>
            <w:r w:rsidR="00C85990" w:rsidRPr="00024E67">
              <w:rPr>
                <w:rFonts w:ascii="IBM Plex Sans" w:hAnsi="IBM Plex Sans"/>
              </w:rPr>
              <w:fldChar w:fldCharType="begin"/>
            </w:r>
            <w:r w:rsidR="00C85990" w:rsidRPr="00024E67">
              <w:rPr>
                <w:rFonts w:ascii="IBM Plex Sans" w:hAnsi="IBM Plex Sans"/>
              </w:rPr>
              <w:instrText xml:space="preserve"> NUMPAGES  </w:instrText>
            </w:r>
            <w:r w:rsidR="00C85990" w:rsidRPr="00024E67">
              <w:rPr>
                <w:rFonts w:ascii="IBM Plex Sans" w:hAnsi="IBM Plex Sans"/>
              </w:rPr>
              <w:fldChar w:fldCharType="separate"/>
            </w:r>
            <w:r w:rsidR="00F31E47" w:rsidRPr="00024E67">
              <w:rPr>
                <w:rFonts w:ascii="IBM Plex Sans" w:hAnsi="IBM Plex Sans"/>
                <w:noProof/>
              </w:rPr>
              <w:t>2</w:t>
            </w:r>
            <w:r w:rsidR="00C85990" w:rsidRPr="00024E67">
              <w:rPr>
                <w:rFonts w:ascii="IBM Plex Sans" w:hAnsi="IBM Plex Sans"/>
                <w:noProof/>
              </w:rPr>
              <w:fldChar w:fldCharType="end"/>
            </w:r>
          </w:p>
          <w:p w14:paraId="67F46CB6" w14:textId="69C436C4" w:rsidR="00F31E47" w:rsidRPr="001E53D1" w:rsidRDefault="00F31E47" w:rsidP="00F31E47">
            <w:pPr>
              <w:pStyle w:val="Footer"/>
              <w:jc w:val="center"/>
            </w:pPr>
            <w:r w:rsidRPr="00024E67">
              <w:rPr>
                <w:rFonts w:ascii="IBM Plex Sans" w:hAnsi="IBM Plex Sans"/>
              </w:rPr>
              <w:t xml:space="preserve">Last Modified by </w:t>
            </w:r>
            <w:r w:rsidR="00091353" w:rsidRPr="00024E67">
              <w:rPr>
                <w:rFonts w:ascii="IBM Plex Sans" w:hAnsi="IBM Plex Sans"/>
              </w:rPr>
              <w:t>3/</w:t>
            </w:r>
            <w:r w:rsidR="002D6D6B" w:rsidRPr="00024E67">
              <w:rPr>
                <w:rFonts w:ascii="IBM Plex Sans" w:hAnsi="IBM Plex Sans"/>
              </w:rPr>
              <w:t>28</w:t>
            </w:r>
            <w:r w:rsidR="00091353" w:rsidRPr="00024E67">
              <w:rPr>
                <w:rFonts w:ascii="IBM Plex Sans" w:hAnsi="IBM Plex Sans"/>
              </w:rPr>
              <w:t>/2025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9F1E2" w14:textId="77777777" w:rsidR="00E054A3" w:rsidRDefault="00E054A3" w:rsidP="00F31E47">
      <w:pPr>
        <w:spacing w:after="0" w:line="240" w:lineRule="auto"/>
      </w:pPr>
      <w:r>
        <w:separator/>
      </w:r>
    </w:p>
  </w:footnote>
  <w:footnote w:type="continuationSeparator" w:id="0">
    <w:p w14:paraId="2B7FD1E5" w14:textId="77777777" w:rsidR="00E054A3" w:rsidRDefault="00E054A3" w:rsidP="00F31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7CE9E" w14:textId="440A29C0" w:rsidR="00F31E47" w:rsidRDefault="00802253">
    <w:pPr>
      <w:pStyle w:val="Header"/>
    </w:pPr>
    <w:r>
      <w:rPr>
        <w:noProof/>
      </w:rPr>
      <w:drawing>
        <wp:inline distT="0" distB="0" distL="0" distR="0" wp14:anchorId="54F077C6" wp14:editId="282FDCA5">
          <wp:extent cx="2152212" cy="314554"/>
          <wp:effectExtent l="0" t="0" r="635"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0409" cy="3215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B7370"/>
    <w:multiLevelType w:val="hybridMultilevel"/>
    <w:tmpl w:val="C368F1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A0CA5"/>
    <w:multiLevelType w:val="hybridMultilevel"/>
    <w:tmpl w:val="A328D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25650"/>
    <w:multiLevelType w:val="hybridMultilevel"/>
    <w:tmpl w:val="EFA8C0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B64B1"/>
    <w:multiLevelType w:val="hybridMultilevel"/>
    <w:tmpl w:val="5BEABAA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BD3599"/>
    <w:multiLevelType w:val="hybridMultilevel"/>
    <w:tmpl w:val="E042C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52FF7"/>
    <w:multiLevelType w:val="hybridMultilevel"/>
    <w:tmpl w:val="CBF2B4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01C78"/>
    <w:multiLevelType w:val="hybridMultilevel"/>
    <w:tmpl w:val="D4B23F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9403B15"/>
    <w:multiLevelType w:val="hybridMultilevel"/>
    <w:tmpl w:val="A56EE0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27B4B"/>
    <w:multiLevelType w:val="hybridMultilevel"/>
    <w:tmpl w:val="0FD48F1E"/>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15:restartNumberingAfterBreak="0">
    <w:nsid w:val="35B645C2"/>
    <w:multiLevelType w:val="hybridMultilevel"/>
    <w:tmpl w:val="CCB85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AC97173"/>
    <w:multiLevelType w:val="hybridMultilevel"/>
    <w:tmpl w:val="793C76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3A6994"/>
    <w:multiLevelType w:val="hybridMultilevel"/>
    <w:tmpl w:val="3B7EA8F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8A31E5"/>
    <w:multiLevelType w:val="hybridMultilevel"/>
    <w:tmpl w:val="B9707C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680601"/>
    <w:multiLevelType w:val="hybridMultilevel"/>
    <w:tmpl w:val="E7C4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BC4FC2"/>
    <w:multiLevelType w:val="hybridMultilevel"/>
    <w:tmpl w:val="3C9A465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5A1DB4"/>
    <w:multiLevelType w:val="multilevel"/>
    <w:tmpl w:val="7756C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2F2607"/>
    <w:multiLevelType w:val="hybridMultilevel"/>
    <w:tmpl w:val="2A64BC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6542AA"/>
    <w:multiLevelType w:val="hybridMultilevel"/>
    <w:tmpl w:val="6574B0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E41277"/>
    <w:multiLevelType w:val="hybridMultilevel"/>
    <w:tmpl w:val="A50AD8B8"/>
    <w:lvl w:ilvl="0" w:tplc="7AEC3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9941C2"/>
    <w:multiLevelType w:val="hybridMultilevel"/>
    <w:tmpl w:val="D5D4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C4E5C21"/>
    <w:multiLevelType w:val="hybridMultilevel"/>
    <w:tmpl w:val="9A4862A4"/>
    <w:lvl w:ilvl="0" w:tplc="17AC7CE4">
      <w:start w:val="1"/>
      <w:numFmt w:val="bullet"/>
      <w:pStyle w:val="ListParagraph"/>
      <w:lvlText w:val=""/>
      <w:lvlJc w:val="left"/>
      <w:pPr>
        <w:ind w:left="720" w:hanging="360"/>
      </w:pPr>
      <w:rPr>
        <w:rFonts w:ascii="Wingdings" w:hAnsi="Wingding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D19592E"/>
    <w:multiLevelType w:val="hybridMultilevel"/>
    <w:tmpl w:val="E1AE947C"/>
    <w:lvl w:ilvl="0" w:tplc="04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D195C2D"/>
    <w:multiLevelType w:val="hybridMultilevel"/>
    <w:tmpl w:val="F46C582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141434B"/>
    <w:multiLevelType w:val="hybridMultilevel"/>
    <w:tmpl w:val="BB728A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E914D4"/>
    <w:multiLevelType w:val="hybridMultilevel"/>
    <w:tmpl w:val="7E006A5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5F46452"/>
    <w:multiLevelType w:val="hybridMultilevel"/>
    <w:tmpl w:val="DF321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721080"/>
    <w:multiLevelType w:val="hybridMultilevel"/>
    <w:tmpl w:val="7DFA8708"/>
    <w:lvl w:ilvl="0" w:tplc="7AEC3C46">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7D3C4B9D"/>
    <w:multiLevelType w:val="hybridMultilevel"/>
    <w:tmpl w:val="9104D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CA6788"/>
    <w:multiLevelType w:val="hybridMultilevel"/>
    <w:tmpl w:val="100E4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66891599">
    <w:abstractNumId w:val="28"/>
  </w:num>
  <w:num w:numId="2" w16cid:durableId="113063842">
    <w:abstractNumId w:val="9"/>
  </w:num>
  <w:num w:numId="3" w16cid:durableId="1525049191">
    <w:abstractNumId w:val="19"/>
  </w:num>
  <w:num w:numId="4" w16cid:durableId="1341733153">
    <w:abstractNumId w:val="6"/>
  </w:num>
  <w:num w:numId="5" w16cid:durableId="1355573884">
    <w:abstractNumId w:val="18"/>
  </w:num>
  <w:num w:numId="6" w16cid:durableId="946041521">
    <w:abstractNumId w:val="26"/>
  </w:num>
  <w:num w:numId="7" w16cid:durableId="43986815">
    <w:abstractNumId w:val="9"/>
  </w:num>
  <w:num w:numId="8" w16cid:durableId="275337300">
    <w:abstractNumId w:val="21"/>
  </w:num>
  <w:num w:numId="9" w16cid:durableId="1019700862">
    <w:abstractNumId w:val="25"/>
  </w:num>
  <w:num w:numId="10" w16cid:durableId="1891988975">
    <w:abstractNumId w:val="15"/>
  </w:num>
  <w:num w:numId="11" w16cid:durableId="1631131355">
    <w:abstractNumId w:val="4"/>
  </w:num>
  <w:num w:numId="12" w16cid:durableId="1740443851">
    <w:abstractNumId w:val="13"/>
  </w:num>
  <w:num w:numId="13" w16cid:durableId="1339692879">
    <w:abstractNumId w:val="5"/>
  </w:num>
  <w:num w:numId="14" w16cid:durableId="269750124">
    <w:abstractNumId w:val="20"/>
  </w:num>
  <w:num w:numId="15" w16cid:durableId="1605530717">
    <w:abstractNumId w:val="0"/>
  </w:num>
  <w:num w:numId="16" w16cid:durableId="1432966104">
    <w:abstractNumId w:val="17"/>
  </w:num>
  <w:num w:numId="17" w16cid:durableId="1455519842">
    <w:abstractNumId w:val="14"/>
  </w:num>
  <w:num w:numId="18" w16cid:durableId="191963266">
    <w:abstractNumId w:val="3"/>
  </w:num>
  <w:num w:numId="19" w16cid:durableId="1253048352">
    <w:abstractNumId w:val="11"/>
  </w:num>
  <w:num w:numId="20" w16cid:durableId="1023676950">
    <w:abstractNumId w:val="22"/>
  </w:num>
  <w:num w:numId="21" w16cid:durableId="1370573477">
    <w:abstractNumId w:val="7"/>
  </w:num>
  <w:num w:numId="22" w16cid:durableId="1071007103">
    <w:abstractNumId w:val="12"/>
  </w:num>
  <w:num w:numId="23" w16cid:durableId="380784073">
    <w:abstractNumId w:val="1"/>
  </w:num>
  <w:num w:numId="24" w16cid:durableId="1479569540">
    <w:abstractNumId w:val="16"/>
  </w:num>
  <w:num w:numId="25" w16cid:durableId="131948610">
    <w:abstractNumId w:val="24"/>
  </w:num>
  <w:num w:numId="26" w16cid:durableId="791754625">
    <w:abstractNumId w:val="8"/>
  </w:num>
  <w:num w:numId="27" w16cid:durableId="1522936105">
    <w:abstractNumId w:val="27"/>
  </w:num>
  <w:num w:numId="28" w16cid:durableId="417949380">
    <w:abstractNumId w:val="10"/>
  </w:num>
  <w:num w:numId="29" w16cid:durableId="732433557">
    <w:abstractNumId w:val="23"/>
  </w:num>
  <w:num w:numId="30" w16cid:durableId="21026034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E47"/>
    <w:rsid w:val="000015B7"/>
    <w:rsid w:val="0000559C"/>
    <w:rsid w:val="000249C5"/>
    <w:rsid w:val="00024E67"/>
    <w:rsid w:val="000408EF"/>
    <w:rsid w:val="00040A16"/>
    <w:rsid w:val="00043292"/>
    <w:rsid w:val="000459CB"/>
    <w:rsid w:val="00050DF8"/>
    <w:rsid w:val="00072DCD"/>
    <w:rsid w:val="00076AC5"/>
    <w:rsid w:val="000802A3"/>
    <w:rsid w:val="0009013E"/>
    <w:rsid w:val="00091353"/>
    <w:rsid w:val="00092D58"/>
    <w:rsid w:val="000A0377"/>
    <w:rsid w:val="000A043F"/>
    <w:rsid w:val="000B2945"/>
    <w:rsid w:val="000B2A4C"/>
    <w:rsid w:val="000C6DE1"/>
    <w:rsid w:val="000D1631"/>
    <w:rsid w:val="000E4AC0"/>
    <w:rsid w:val="000E75D6"/>
    <w:rsid w:val="000F177B"/>
    <w:rsid w:val="000F7D1D"/>
    <w:rsid w:val="00101929"/>
    <w:rsid w:val="00102B1B"/>
    <w:rsid w:val="00114C4F"/>
    <w:rsid w:val="001435FC"/>
    <w:rsid w:val="00145EBC"/>
    <w:rsid w:val="0017033E"/>
    <w:rsid w:val="00191AC6"/>
    <w:rsid w:val="001B7559"/>
    <w:rsid w:val="001C65BF"/>
    <w:rsid w:val="001E0197"/>
    <w:rsid w:val="001E53D1"/>
    <w:rsid w:val="001F2119"/>
    <w:rsid w:val="0020399A"/>
    <w:rsid w:val="00211A62"/>
    <w:rsid w:val="00227771"/>
    <w:rsid w:val="00232B9F"/>
    <w:rsid w:val="00235C70"/>
    <w:rsid w:val="00261FF5"/>
    <w:rsid w:val="002927BB"/>
    <w:rsid w:val="002B7307"/>
    <w:rsid w:val="002C55E1"/>
    <w:rsid w:val="002C5F00"/>
    <w:rsid w:val="002D036D"/>
    <w:rsid w:val="002D156D"/>
    <w:rsid w:val="002D6D6B"/>
    <w:rsid w:val="002E6F5E"/>
    <w:rsid w:val="002E7114"/>
    <w:rsid w:val="00303503"/>
    <w:rsid w:val="00303E7B"/>
    <w:rsid w:val="0032239B"/>
    <w:rsid w:val="003418F5"/>
    <w:rsid w:val="00354262"/>
    <w:rsid w:val="00362916"/>
    <w:rsid w:val="003733D9"/>
    <w:rsid w:val="00384E6C"/>
    <w:rsid w:val="00385EB7"/>
    <w:rsid w:val="003977F5"/>
    <w:rsid w:val="003D5110"/>
    <w:rsid w:val="003F5B60"/>
    <w:rsid w:val="004105FA"/>
    <w:rsid w:val="00413D80"/>
    <w:rsid w:val="00417903"/>
    <w:rsid w:val="004223F3"/>
    <w:rsid w:val="00427952"/>
    <w:rsid w:val="004355F9"/>
    <w:rsid w:val="0044383B"/>
    <w:rsid w:val="00484EA5"/>
    <w:rsid w:val="004C0AEA"/>
    <w:rsid w:val="004C4654"/>
    <w:rsid w:val="004E0445"/>
    <w:rsid w:val="004E1CCB"/>
    <w:rsid w:val="004E3023"/>
    <w:rsid w:val="004E314E"/>
    <w:rsid w:val="004F1204"/>
    <w:rsid w:val="00507A0B"/>
    <w:rsid w:val="00512810"/>
    <w:rsid w:val="0051485B"/>
    <w:rsid w:val="005209F7"/>
    <w:rsid w:val="005351D6"/>
    <w:rsid w:val="00536FC1"/>
    <w:rsid w:val="005379B9"/>
    <w:rsid w:val="0054183B"/>
    <w:rsid w:val="00542592"/>
    <w:rsid w:val="00543C4C"/>
    <w:rsid w:val="00545F12"/>
    <w:rsid w:val="00551752"/>
    <w:rsid w:val="00592E80"/>
    <w:rsid w:val="005A2DC6"/>
    <w:rsid w:val="005C0F1D"/>
    <w:rsid w:val="005C48D1"/>
    <w:rsid w:val="005C59BB"/>
    <w:rsid w:val="005E55E5"/>
    <w:rsid w:val="005F346F"/>
    <w:rsid w:val="00607AF1"/>
    <w:rsid w:val="00612B90"/>
    <w:rsid w:val="0061535D"/>
    <w:rsid w:val="006221F3"/>
    <w:rsid w:val="00622709"/>
    <w:rsid w:val="00622E73"/>
    <w:rsid w:val="006303D8"/>
    <w:rsid w:val="0064338B"/>
    <w:rsid w:val="006439BB"/>
    <w:rsid w:val="00646EA2"/>
    <w:rsid w:val="00673098"/>
    <w:rsid w:val="00681BD9"/>
    <w:rsid w:val="006862D1"/>
    <w:rsid w:val="00687F15"/>
    <w:rsid w:val="0069719B"/>
    <w:rsid w:val="006B1DCB"/>
    <w:rsid w:val="006B749F"/>
    <w:rsid w:val="006D3369"/>
    <w:rsid w:val="006F3A0A"/>
    <w:rsid w:val="006F7686"/>
    <w:rsid w:val="007012AA"/>
    <w:rsid w:val="0075262B"/>
    <w:rsid w:val="00756E81"/>
    <w:rsid w:val="00757E91"/>
    <w:rsid w:val="00773377"/>
    <w:rsid w:val="00775222"/>
    <w:rsid w:val="00776102"/>
    <w:rsid w:val="00785E23"/>
    <w:rsid w:val="0078799E"/>
    <w:rsid w:val="007A0676"/>
    <w:rsid w:val="007D3B42"/>
    <w:rsid w:val="00802253"/>
    <w:rsid w:val="00820A3C"/>
    <w:rsid w:val="008379ED"/>
    <w:rsid w:val="00861070"/>
    <w:rsid w:val="008634F0"/>
    <w:rsid w:val="0087098E"/>
    <w:rsid w:val="00897D57"/>
    <w:rsid w:val="008A6863"/>
    <w:rsid w:val="008C65A5"/>
    <w:rsid w:val="008D71DE"/>
    <w:rsid w:val="008D7ABF"/>
    <w:rsid w:val="008E63E7"/>
    <w:rsid w:val="00913228"/>
    <w:rsid w:val="009144BF"/>
    <w:rsid w:val="00934873"/>
    <w:rsid w:val="009371CE"/>
    <w:rsid w:val="0096525F"/>
    <w:rsid w:val="00966C05"/>
    <w:rsid w:val="00972615"/>
    <w:rsid w:val="00972F5C"/>
    <w:rsid w:val="00990E9A"/>
    <w:rsid w:val="00993A67"/>
    <w:rsid w:val="00997C34"/>
    <w:rsid w:val="009A3972"/>
    <w:rsid w:val="009A3B35"/>
    <w:rsid w:val="009B3A85"/>
    <w:rsid w:val="009D02C8"/>
    <w:rsid w:val="009D0F77"/>
    <w:rsid w:val="009D5EDD"/>
    <w:rsid w:val="009F09A0"/>
    <w:rsid w:val="009F0E33"/>
    <w:rsid w:val="009F7FB0"/>
    <w:rsid w:val="00A02D7D"/>
    <w:rsid w:val="00A03A67"/>
    <w:rsid w:val="00A04117"/>
    <w:rsid w:val="00A06888"/>
    <w:rsid w:val="00A07C37"/>
    <w:rsid w:val="00A12B3F"/>
    <w:rsid w:val="00A34D47"/>
    <w:rsid w:val="00A5341B"/>
    <w:rsid w:val="00A55F72"/>
    <w:rsid w:val="00A603D6"/>
    <w:rsid w:val="00A61881"/>
    <w:rsid w:val="00A667D9"/>
    <w:rsid w:val="00AA0297"/>
    <w:rsid w:val="00AA4ECD"/>
    <w:rsid w:val="00AA58E9"/>
    <w:rsid w:val="00AA7E88"/>
    <w:rsid w:val="00AB056F"/>
    <w:rsid w:val="00AC4A95"/>
    <w:rsid w:val="00AD2536"/>
    <w:rsid w:val="00AF6CE8"/>
    <w:rsid w:val="00B07952"/>
    <w:rsid w:val="00B104E2"/>
    <w:rsid w:val="00B137D1"/>
    <w:rsid w:val="00B178A7"/>
    <w:rsid w:val="00B2690C"/>
    <w:rsid w:val="00B26A7C"/>
    <w:rsid w:val="00B30837"/>
    <w:rsid w:val="00B3306B"/>
    <w:rsid w:val="00B52E3A"/>
    <w:rsid w:val="00B71211"/>
    <w:rsid w:val="00BA3734"/>
    <w:rsid w:val="00BB1658"/>
    <w:rsid w:val="00BB25E4"/>
    <w:rsid w:val="00BC11DA"/>
    <w:rsid w:val="00BC37B2"/>
    <w:rsid w:val="00BC3E83"/>
    <w:rsid w:val="00BC40B1"/>
    <w:rsid w:val="00BE5190"/>
    <w:rsid w:val="00BF066E"/>
    <w:rsid w:val="00BF2FBA"/>
    <w:rsid w:val="00C03991"/>
    <w:rsid w:val="00C16E8E"/>
    <w:rsid w:val="00C22EBE"/>
    <w:rsid w:val="00C47515"/>
    <w:rsid w:val="00C6491F"/>
    <w:rsid w:val="00C80547"/>
    <w:rsid w:val="00C81ADB"/>
    <w:rsid w:val="00C85990"/>
    <w:rsid w:val="00C9211A"/>
    <w:rsid w:val="00CA1993"/>
    <w:rsid w:val="00CA2224"/>
    <w:rsid w:val="00CB07F6"/>
    <w:rsid w:val="00CB2238"/>
    <w:rsid w:val="00CD63E5"/>
    <w:rsid w:val="00CE0313"/>
    <w:rsid w:val="00CE17F5"/>
    <w:rsid w:val="00D34608"/>
    <w:rsid w:val="00D37E83"/>
    <w:rsid w:val="00D505AC"/>
    <w:rsid w:val="00D54637"/>
    <w:rsid w:val="00D7061D"/>
    <w:rsid w:val="00D808C3"/>
    <w:rsid w:val="00D81276"/>
    <w:rsid w:val="00D92E29"/>
    <w:rsid w:val="00DA7706"/>
    <w:rsid w:val="00DD07E9"/>
    <w:rsid w:val="00E022D5"/>
    <w:rsid w:val="00E054A3"/>
    <w:rsid w:val="00E16E32"/>
    <w:rsid w:val="00E21A92"/>
    <w:rsid w:val="00E2500F"/>
    <w:rsid w:val="00E26325"/>
    <w:rsid w:val="00E27568"/>
    <w:rsid w:val="00E543FA"/>
    <w:rsid w:val="00E621A6"/>
    <w:rsid w:val="00E91E6A"/>
    <w:rsid w:val="00EC26E2"/>
    <w:rsid w:val="00EE031D"/>
    <w:rsid w:val="00F02D50"/>
    <w:rsid w:val="00F270CD"/>
    <w:rsid w:val="00F31E47"/>
    <w:rsid w:val="00F716A2"/>
    <w:rsid w:val="00F72E7C"/>
    <w:rsid w:val="00F73778"/>
    <w:rsid w:val="00F92763"/>
    <w:rsid w:val="00FA7791"/>
    <w:rsid w:val="00FC760D"/>
    <w:rsid w:val="00FE38E4"/>
    <w:rsid w:val="00FF494A"/>
    <w:rsid w:val="00FF7110"/>
    <w:rsid w:val="1871927E"/>
    <w:rsid w:val="4256B55F"/>
    <w:rsid w:val="7E8F0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1A404"/>
  <w15:chartTrackingRefBased/>
  <w15:docId w15:val="{58E2F2A3-6213-45BF-8450-E8A0B554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E47"/>
    <w:rPr>
      <w:rFonts w:ascii="Palatino Linotype" w:hAnsi="Palatino Linotype"/>
    </w:rPr>
  </w:style>
  <w:style w:type="paragraph" w:styleId="Heading1">
    <w:name w:val="heading 1"/>
    <w:basedOn w:val="Normal"/>
    <w:next w:val="Normal"/>
    <w:link w:val="Heading1Char"/>
    <w:uiPriority w:val="9"/>
    <w:qFormat/>
    <w:rsid w:val="006221F3"/>
    <w:pPr>
      <w:keepNext/>
      <w:keepLines/>
      <w:spacing w:before="360" w:after="0" w:line="240" w:lineRule="auto"/>
      <w:outlineLvl w:val="0"/>
    </w:pPr>
    <w:rPr>
      <w:rFonts w:eastAsiaTheme="majorEastAsia" w:cstheme="majorBidi"/>
      <w:b/>
      <w:smallCaps/>
      <w:color w:val="00529B"/>
      <w:sz w:val="32"/>
      <w:szCs w:val="32"/>
    </w:rPr>
  </w:style>
  <w:style w:type="paragraph" w:styleId="Heading2">
    <w:name w:val="heading 2"/>
    <w:basedOn w:val="Normal"/>
    <w:next w:val="Normal"/>
    <w:link w:val="Heading2Char"/>
    <w:uiPriority w:val="9"/>
    <w:unhideWhenUsed/>
    <w:qFormat/>
    <w:rsid w:val="00D7061D"/>
    <w:pPr>
      <w:keepNext/>
      <w:keepLines/>
      <w:spacing w:before="240" w:after="0"/>
      <w:outlineLvl w:val="1"/>
    </w:pPr>
    <w:rPr>
      <w:rFonts w:eastAsiaTheme="majorEastAsia" w:cstheme="majorBidi"/>
      <w:b/>
      <w:color w:val="00529B"/>
      <w:sz w:val="26"/>
      <w:szCs w:val="26"/>
    </w:rPr>
  </w:style>
  <w:style w:type="paragraph" w:styleId="Heading3">
    <w:name w:val="heading 3"/>
    <w:basedOn w:val="Normal"/>
    <w:next w:val="Normal"/>
    <w:link w:val="Heading3Char"/>
    <w:uiPriority w:val="9"/>
    <w:unhideWhenUsed/>
    <w:qFormat/>
    <w:rsid w:val="002D156D"/>
    <w:pPr>
      <w:keepNext/>
      <w:keepLines/>
      <w:spacing w:before="40" w:after="0"/>
      <w:ind w:left="720"/>
      <w:outlineLvl w:val="2"/>
    </w:pPr>
    <w:rPr>
      <w:rFonts w:eastAsiaTheme="majorEastAsia" w:cstheme="majorBidi"/>
      <w:i/>
      <w:color w:val="00529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5222"/>
    <w:pPr>
      <w:pBdr>
        <w:bottom w:val="thinThickSmallGap" w:sz="12" w:space="1" w:color="BC581A"/>
      </w:pBdr>
      <w:spacing w:after="240" w:line="240" w:lineRule="auto"/>
      <w:contextualSpacing/>
      <w:jc w:val="center"/>
    </w:pPr>
    <w:rPr>
      <w:rFonts w:eastAsiaTheme="majorEastAsia" w:cstheme="majorBidi"/>
      <w:b/>
      <w:color w:val="00529B"/>
      <w:spacing w:val="-10"/>
      <w:kern w:val="28"/>
      <w:sz w:val="48"/>
      <w:szCs w:val="56"/>
    </w:rPr>
  </w:style>
  <w:style w:type="character" w:customStyle="1" w:styleId="TitleChar">
    <w:name w:val="Title Char"/>
    <w:basedOn w:val="DefaultParagraphFont"/>
    <w:link w:val="Title"/>
    <w:uiPriority w:val="10"/>
    <w:rsid w:val="00775222"/>
    <w:rPr>
      <w:rFonts w:ascii="Palatino Linotype" w:eastAsiaTheme="majorEastAsia" w:hAnsi="Palatino Linotype" w:cstheme="majorBidi"/>
      <w:b/>
      <w:color w:val="00529B"/>
      <w:spacing w:val="-10"/>
      <w:kern w:val="28"/>
      <w:sz w:val="48"/>
      <w:szCs w:val="56"/>
    </w:rPr>
  </w:style>
  <w:style w:type="character" w:customStyle="1" w:styleId="Heading1Char">
    <w:name w:val="Heading 1 Char"/>
    <w:basedOn w:val="DefaultParagraphFont"/>
    <w:link w:val="Heading1"/>
    <w:uiPriority w:val="9"/>
    <w:rsid w:val="006221F3"/>
    <w:rPr>
      <w:rFonts w:ascii="Palatino Linotype" w:eastAsiaTheme="majorEastAsia" w:hAnsi="Palatino Linotype" w:cstheme="majorBidi"/>
      <w:b/>
      <w:smallCaps/>
      <w:color w:val="00529B"/>
      <w:sz w:val="32"/>
      <w:szCs w:val="32"/>
    </w:rPr>
  </w:style>
  <w:style w:type="character" w:customStyle="1" w:styleId="Heading2Char">
    <w:name w:val="Heading 2 Char"/>
    <w:basedOn w:val="DefaultParagraphFont"/>
    <w:link w:val="Heading2"/>
    <w:uiPriority w:val="9"/>
    <w:rsid w:val="00D7061D"/>
    <w:rPr>
      <w:rFonts w:ascii="Palatino Linotype" w:eastAsiaTheme="majorEastAsia" w:hAnsi="Palatino Linotype" w:cstheme="majorBidi"/>
      <w:b/>
      <w:color w:val="00529B"/>
      <w:sz w:val="26"/>
      <w:szCs w:val="26"/>
    </w:rPr>
  </w:style>
  <w:style w:type="paragraph" w:styleId="Subtitle">
    <w:name w:val="Subtitle"/>
    <w:basedOn w:val="Normal"/>
    <w:next w:val="Normal"/>
    <w:link w:val="SubtitleChar"/>
    <w:uiPriority w:val="11"/>
    <w:qFormat/>
    <w:rsid w:val="00F31E47"/>
    <w:pPr>
      <w:numPr>
        <w:ilvl w:val="1"/>
      </w:numPr>
      <w:jc w:val="cente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31E47"/>
    <w:rPr>
      <w:rFonts w:ascii="Palatino Linotype" w:eastAsiaTheme="minorEastAsia" w:hAnsi="Palatino Linotype"/>
      <w:color w:val="5A5A5A" w:themeColor="text1" w:themeTint="A5"/>
      <w:spacing w:val="15"/>
    </w:rPr>
  </w:style>
  <w:style w:type="paragraph" w:styleId="Header">
    <w:name w:val="header"/>
    <w:basedOn w:val="Normal"/>
    <w:link w:val="HeaderChar"/>
    <w:uiPriority w:val="99"/>
    <w:unhideWhenUsed/>
    <w:rsid w:val="00F31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E47"/>
    <w:rPr>
      <w:rFonts w:ascii="Palatino Linotype" w:hAnsi="Palatino Linotype"/>
    </w:rPr>
  </w:style>
  <w:style w:type="paragraph" w:styleId="Footer">
    <w:name w:val="footer"/>
    <w:basedOn w:val="Normal"/>
    <w:link w:val="FooterChar"/>
    <w:uiPriority w:val="99"/>
    <w:unhideWhenUsed/>
    <w:rsid w:val="00F31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E47"/>
    <w:rPr>
      <w:rFonts w:ascii="Palatino Linotype" w:hAnsi="Palatino Linotype"/>
    </w:rPr>
  </w:style>
  <w:style w:type="character" w:styleId="PlaceholderText">
    <w:name w:val="Placeholder Text"/>
    <w:basedOn w:val="DefaultParagraphFont"/>
    <w:uiPriority w:val="99"/>
    <w:semiHidden/>
    <w:rsid w:val="00F31E47"/>
    <w:rPr>
      <w:color w:val="808080"/>
    </w:rPr>
  </w:style>
  <w:style w:type="paragraph" w:styleId="ListParagraph">
    <w:name w:val="List Paragraph"/>
    <w:basedOn w:val="Normal"/>
    <w:uiPriority w:val="34"/>
    <w:qFormat/>
    <w:rsid w:val="00687F15"/>
    <w:pPr>
      <w:numPr>
        <w:numId w:val="14"/>
      </w:numPr>
      <w:spacing w:after="200" w:line="276" w:lineRule="auto"/>
      <w:contextualSpacing/>
    </w:pPr>
    <w:rPr>
      <w:lang w:val="en-GB"/>
    </w:rPr>
  </w:style>
  <w:style w:type="table" w:styleId="TableGrid">
    <w:name w:val="Table Grid"/>
    <w:basedOn w:val="TableNormal"/>
    <w:uiPriority w:val="59"/>
    <w:rsid w:val="00592E80"/>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1E6A"/>
    <w:rPr>
      <w:color w:val="0563C1" w:themeColor="hyperlink"/>
      <w:u w:val="single"/>
    </w:rPr>
  </w:style>
  <w:style w:type="character" w:styleId="UnresolvedMention">
    <w:name w:val="Unresolved Mention"/>
    <w:basedOn w:val="DefaultParagraphFont"/>
    <w:uiPriority w:val="99"/>
    <w:semiHidden/>
    <w:unhideWhenUsed/>
    <w:rsid w:val="00E91E6A"/>
    <w:rPr>
      <w:color w:val="605E5C"/>
      <w:shd w:val="clear" w:color="auto" w:fill="E1DFDD"/>
    </w:rPr>
  </w:style>
  <w:style w:type="character" w:styleId="FollowedHyperlink">
    <w:name w:val="FollowedHyperlink"/>
    <w:basedOn w:val="DefaultParagraphFont"/>
    <w:uiPriority w:val="99"/>
    <w:semiHidden/>
    <w:unhideWhenUsed/>
    <w:rsid w:val="000A043F"/>
    <w:rPr>
      <w:color w:val="6A2A60" w:themeColor="followedHyperlink"/>
      <w:u w:val="single"/>
    </w:rPr>
  </w:style>
  <w:style w:type="character" w:customStyle="1" w:styleId="spelle">
    <w:name w:val="spelle"/>
    <w:basedOn w:val="DefaultParagraphFont"/>
    <w:rsid w:val="00C03991"/>
  </w:style>
  <w:style w:type="character" w:customStyle="1" w:styleId="Heading3Char">
    <w:name w:val="Heading 3 Char"/>
    <w:basedOn w:val="DefaultParagraphFont"/>
    <w:link w:val="Heading3"/>
    <w:uiPriority w:val="9"/>
    <w:rsid w:val="002D156D"/>
    <w:rPr>
      <w:rFonts w:ascii="Palatino Linotype" w:eastAsiaTheme="majorEastAsia" w:hAnsi="Palatino Linotype" w:cstheme="majorBidi"/>
      <w:i/>
      <w:color w:val="00529B"/>
      <w:sz w:val="24"/>
      <w:szCs w:val="24"/>
    </w:rPr>
  </w:style>
  <w:style w:type="character" w:styleId="BookTitle">
    <w:name w:val="Book Title"/>
    <w:basedOn w:val="DefaultParagraphFont"/>
    <w:uiPriority w:val="33"/>
    <w:qFormat/>
    <w:rsid w:val="00E21A92"/>
    <w:rPr>
      <w:b/>
      <w:bCs/>
      <w:i/>
      <w:iCs/>
      <w:spacing w:val="5"/>
    </w:rPr>
  </w:style>
  <w:style w:type="table" w:styleId="GridTable4-Accent1">
    <w:name w:val="Grid Table 4 Accent 1"/>
    <w:basedOn w:val="TableNormal"/>
    <w:uiPriority w:val="49"/>
    <w:rsid w:val="000249C5"/>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3059FF" w:themeColor="accent1" w:themeTint="99"/>
        <w:left w:val="single" w:sz="4" w:space="0" w:color="3059FF" w:themeColor="accent1" w:themeTint="99"/>
        <w:bottom w:val="single" w:sz="4" w:space="0" w:color="3059FF" w:themeColor="accent1" w:themeTint="99"/>
        <w:right w:val="single" w:sz="4" w:space="0" w:color="3059FF" w:themeColor="accent1" w:themeTint="99"/>
        <w:insideH w:val="single" w:sz="4" w:space="0" w:color="3059FF" w:themeColor="accent1" w:themeTint="99"/>
        <w:insideV w:val="single" w:sz="4" w:space="0" w:color="3059FF" w:themeColor="accent1" w:themeTint="99"/>
      </w:tblBorders>
    </w:tblPr>
    <w:tblStylePr w:type="firstRow">
      <w:rPr>
        <w:b/>
        <w:bCs/>
        <w:color w:val="FFFFFF" w:themeColor="background1"/>
      </w:rPr>
      <w:tblPr/>
      <w:tcPr>
        <w:tcBorders>
          <w:top w:val="single" w:sz="4" w:space="0" w:color="0021A5" w:themeColor="accent1"/>
          <w:left w:val="single" w:sz="4" w:space="0" w:color="0021A5" w:themeColor="accent1"/>
          <w:bottom w:val="single" w:sz="4" w:space="0" w:color="0021A5" w:themeColor="accent1"/>
          <w:right w:val="single" w:sz="4" w:space="0" w:color="0021A5" w:themeColor="accent1"/>
          <w:insideH w:val="nil"/>
          <w:insideV w:val="nil"/>
        </w:tcBorders>
        <w:shd w:val="clear" w:color="auto" w:fill="0021A5" w:themeFill="accent1"/>
      </w:tcPr>
    </w:tblStylePr>
    <w:tblStylePr w:type="lastRow">
      <w:rPr>
        <w:b/>
        <w:bCs/>
      </w:rPr>
      <w:tblPr/>
      <w:tcPr>
        <w:tcBorders>
          <w:top w:val="double" w:sz="4" w:space="0" w:color="0021A5" w:themeColor="accent1"/>
        </w:tcBorders>
      </w:tcPr>
    </w:tblStylePr>
    <w:tblStylePr w:type="firstCol">
      <w:rPr>
        <w:b/>
        <w:bCs/>
      </w:rPr>
    </w:tblStylePr>
    <w:tblStylePr w:type="lastCol">
      <w:rPr>
        <w:b/>
        <w:bCs/>
      </w:rPr>
    </w:tblStylePr>
    <w:tblStylePr w:type="band1Vert">
      <w:tblPr/>
      <w:tcPr>
        <w:shd w:val="clear" w:color="auto" w:fill="BAC7FF" w:themeFill="accent1" w:themeFillTint="33"/>
      </w:tcPr>
    </w:tblStylePr>
    <w:tblStylePr w:type="band1Horz">
      <w:tblPr/>
      <w:tcPr>
        <w:shd w:val="clear" w:color="auto" w:fill="BAC7FF" w:themeFill="accent1" w:themeFillTint="33"/>
      </w:tcPr>
    </w:tblStylePr>
  </w:style>
  <w:style w:type="paragraph" w:styleId="Bibliography">
    <w:name w:val="Bibliography"/>
    <w:basedOn w:val="Normal"/>
    <w:next w:val="Normal"/>
    <w:uiPriority w:val="37"/>
    <w:unhideWhenUsed/>
    <w:rsid w:val="00384E6C"/>
    <w:pPr>
      <w:spacing w:after="0" w:line="240" w:lineRule="auto"/>
    </w:pPr>
    <w:rPr>
      <w:rFonts w:eastAsia="Times New Roman" w:cs="Times New Roman"/>
      <w:sz w:val="24"/>
      <w:szCs w:val="24"/>
      <w:lang w:eastAsia="en-GB"/>
    </w:rPr>
  </w:style>
  <w:style w:type="paragraph" w:styleId="NoSpacing">
    <w:name w:val="No Spacing"/>
    <w:uiPriority w:val="1"/>
    <w:qFormat/>
    <w:rsid w:val="00385EB7"/>
    <w:pPr>
      <w:spacing w:after="0" w:line="240" w:lineRule="auto"/>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58687">
      <w:bodyDiv w:val="1"/>
      <w:marLeft w:val="0"/>
      <w:marRight w:val="0"/>
      <w:marTop w:val="0"/>
      <w:marBottom w:val="0"/>
      <w:divBdr>
        <w:top w:val="none" w:sz="0" w:space="0" w:color="auto"/>
        <w:left w:val="none" w:sz="0" w:space="0" w:color="auto"/>
        <w:bottom w:val="none" w:sz="0" w:space="0" w:color="auto"/>
        <w:right w:val="none" w:sz="0" w:space="0" w:color="auto"/>
      </w:divBdr>
    </w:div>
    <w:div w:id="614022705">
      <w:bodyDiv w:val="1"/>
      <w:marLeft w:val="0"/>
      <w:marRight w:val="0"/>
      <w:marTop w:val="0"/>
      <w:marBottom w:val="0"/>
      <w:divBdr>
        <w:top w:val="none" w:sz="0" w:space="0" w:color="auto"/>
        <w:left w:val="none" w:sz="0" w:space="0" w:color="auto"/>
        <w:bottom w:val="none" w:sz="0" w:space="0" w:color="auto"/>
        <w:right w:val="none" w:sz="0" w:space="0" w:color="auto"/>
      </w:divBdr>
    </w:div>
    <w:div w:id="109879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F74982CD1E94D31ACD1CAFD5D4D91BE"/>
        <w:category>
          <w:name w:val="General"/>
          <w:gallery w:val="placeholder"/>
        </w:category>
        <w:types>
          <w:type w:val="bbPlcHdr"/>
        </w:types>
        <w:behaviors>
          <w:behavior w:val="content"/>
        </w:behaviors>
        <w:guid w:val="{BF03F2D1-D783-4D3E-8E81-78DFDAFD3271}"/>
      </w:docPartPr>
      <w:docPartBody>
        <w:p w:rsidR="007E4591" w:rsidRDefault="00FF7110">
          <w:r w:rsidRPr="0090696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IBM Plex Sans">
    <w:panose1 w:val="020B0503050203000203"/>
    <w:charset w:val="00"/>
    <w:family w:val="swiss"/>
    <w:notTrueType/>
    <w:pitch w:val="variable"/>
    <w:sig w:usb0="A00002EF" w:usb1="50002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110"/>
    <w:rsid w:val="000708E9"/>
    <w:rsid w:val="000C396E"/>
    <w:rsid w:val="002C55E1"/>
    <w:rsid w:val="00622E73"/>
    <w:rsid w:val="007E4591"/>
    <w:rsid w:val="008379ED"/>
    <w:rsid w:val="0086276E"/>
    <w:rsid w:val="008B66F7"/>
    <w:rsid w:val="009371CE"/>
    <w:rsid w:val="00BB1658"/>
    <w:rsid w:val="00BC11DA"/>
    <w:rsid w:val="00C00491"/>
    <w:rsid w:val="00EE031D"/>
    <w:rsid w:val="00FF7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11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049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F Brand">
      <a:dk1>
        <a:sysClr val="windowText" lastClr="000000"/>
      </a:dk1>
      <a:lt1>
        <a:sysClr val="window" lastClr="FFFFFF"/>
      </a:lt1>
      <a:dk2>
        <a:srgbClr val="343731"/>
      </a:dk2>
      <a:lt2>
        <a:srgbClr val="D8D4D7"/>
      </a:lt2>
      <a:accent1>
        <a:srgbClr val="0021A5"/>
      </a:accent1>
      <a:accent2>
        <a:srgbClr val="FA4616"/>
      </a:accent2>
      <a:accent3>
        <a:srgbClr val="C7C9C8"/>
      </a:accent3>
      <a:accent4>
        <a:srgbClr val="F2A900"/>
      </a:accent4>
      <a:accent5>
        <a:srgbClr val="002657"/>
      </a:accent5>
      <a:accent6>
        <a:srgbClr val="22884C"/>
      </a:accent6>
      <a:hlink>
        <a:srgbClr val="0563C1"/>
      </a:hlink>
      <a:folHlink>
        <a:srgbClr val="6A2A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6c7b8d3-d275-4e2e-aadd-ccbd2ccf68cd">7R7YXYDHUJEC-1003292916-41312</_dlc_DocId>
    <_dlc_DocIdUrl xmlns="46c7b8d3-d275-4e2e-aadd-ccbd2ccf68cd">
      <Url>https://uflorida.sharepoint.com/sites/ufit-projects/_layouts/15/DocIdRedir.aspx?ID=7R7YXYDHUJEC-1003292916-41312</Url>
      <Description>7R7YXYDHUJEC-1003292916-41312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835C2E116DA4468545A97B2F74E11C" ma:contentTypeVersion="80" ma:contentTypeDescription="Create a new document." ma:contentTypeScope="" ma:versionID="01041b6b820322e395eb281fbdf06105">
  <xsd:schema xmlns:xsd="http://www.w3.org/2001/XMLSchema" xmlns:xs="http://www.w3.org/2001/XMLSchema" xmlns:p="http://schemas.microsoft.com/office/2006/metadata/properties" xmlns:ns2="46c7b8d3-d275-4e2e-aadd-ccbd2ccf68cd" xmlns:ns3="294f8bb3-39a7-4fc7-94a9-973b40042956" targetNamespace="http://schemas.microsoft.com/office/2006/metadata/properties" ma:root="true" ma:fieldsID="6eae667eb48f62ebc28b72286719040e" ns2:_="" ns3:_="">
    <xsd:import namespace="46c7b8d3-d275-4e2e-aadd-ccbd2ccf68cd"/>
    <xsd:import namespace="294f8bb3-39a7-4fc7-94a9-973b4004295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7b8d3-d275-4e2e-aadd-ccbd2ccf68c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94f8bb3-39a7-4fc7-94a9-973b4004295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
    <b:Tag>Pro16</b:Tag>
    <b:SourceType>BookSection</b:SourceType>
    <b:Guid>{3D243AD1-A00D-46F0-8CB4-A45BDC03533D}</b:Guid>
    <b:Author>
      <b:Author>
        <b:Corporate>Project Management Institute</b:Corporate>
      </b:Author>
    </b:Author>
    <b:Title>Requirements Management: A Practice Guide</b:Title>
    <b:Year>2016</b:Year>
    <b:BookTitle>Requirements Management: A Practice Guide</b:BookTitle>
    <b:Pages>64-74</b:Pages>
    <b:City>Newtown Square</b:City>
    <b:Publisher>PMI Publications</b:Publisher>
    <b:StateProvince>Pennsylvania</b:StateProvince>
    <b:RefOrder>1</b:RefOrder>
  </b:Source>
</b:Sources>
</file>

<file path=customXml/itemProps1.xml><?xml version="1.0" encoding="utf-8"?>
<ds:datastoreItem xmlns:ds="http://schemas.openxmlformats.org/officeDocument/2006/customXml" ds:itemID="{74938FD9-0682-4363-8869-88BEBB17B958}">
  <ds:schemaRefs>
    <ds:schemaRef ds:uri="http://schemas.microsoft.com/office/2006/metadata/properties"/>
    <ds:schemaRef ds:uri="http://schemas.microsoft.com/office/infopath/2007/PartnerControls"/>
    <ds:schemaRef ds:uri="46c7b8d3-d275-4e2e-aadd-ccbd2ccf68cd"/>
  </ds:schemaRefs>
</ds:datastoreItem>
</file>

<file path=customXml/itemProps2.xml><?xml version="1.0" encoding="utf-8"?>
<ds:datastoreItem xmlns:ds="http://schemas.openxmlformats.org/officeDocument/2006/customXml" ds:itemID="{DA2D287C-3CB3-45F7-B505-3BE285B8C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7b8d3-d275-4e2e-aadd-ccbd2ccf68cd"/>
    <ds:schemaRef ds:uri="294f8bb3-39a7-4fc7-94a9-973b40042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7649FE-FC19-4115-A613-B959679034B0}">
  <ds:schemaRefs>
    <ds:schemaRef ds:uri="http://schemas.microsoft.com/sharepoint/events"/>
  </ds:schemaRefs>
</ds:datastoreItem>
</file>

<file path=customXml/itemProps4.xml><?xml version="1.0" encoding="utf-8"?>
<ds:datastoreItem xmlns:ds="http://schemas.openxmlformats.org/officeDocument/2006/customXml" ds:itemID="{E3F5DEC5-832C-41F3-915E-9488D7FB3876}">
  <ds:schemaRefs>
    <ds:schemaRef ds:uri="http://schemas.microsoft.com/sharepoint/v3/contenttype/forms"/>
  </ds:schemaRefs>
</ds:datastoreItem>
</file>

<file path=customXml/itemProps5.xml><?xml version="1.0" encoding="utf-8"?>
<ds:datastoreItem xmlns:ds="http://schemas.openxmlformats.org/officeDocument/2006/customXml" ds:itemID="{9DB7C7ED-14B5-44F3-93F3-FEC6E629B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7</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UFIT Requirements Specification</vt:lpstr>
    </vt:vector>
  </TitlesOfParts>
  <Company>University of Florida</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UFIT Requirements Specification</dc:title>
  <dc:subject/>
  <dc:creator>Pfeffer, Emily Patricia</dc:creator>
  <cp:keywords>PMO</cp:keywords>
  <dc:description/>
  <cp:lastModifiedBy>Hancock,Renee J</cp:lastModifiedBy>
  <cp:revision>83</cp:revision>
  <cp:lastPrinted>2020-04-16T15:10:00Z</cp:lastPrinted>
  <dcterms:created xsi:type="dcterms:W3CDTF">2020-02-06T14:47:00Z</dcterms:created>
  <dcterms:modified xsi:type="dcterms:W3CDTF">2025-04-15T19:22:00Z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0x01010075835C2E116DA4468545A97B2F74E11C</vt:lpwstr>
  </property>
  <property fmtid="{D5CDD505-2E9C-101B-9397-08002B2CF9AE}" pid="3" name="_dlc_DocIdItemGuid">
    <vt:lpwstr>3a6c2604-b748-489b-a454-27c0cabb954b</vt:lpwstr>
  </property>
</Properties>
</file>